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2" w:rsidRDefault="00C004F2">
      <w:pPr>
        <w:pStyle w:val="PlainText"/>
        <w:tabs>
          <w:tab w:val="left" w:pos="6840"/>
        </w:tabs>
        <w:rPr>
          <w:rFonts w:eastAsia="MS Mincho" w:cs="Arial"/>
          <w:b/>
          <w:bCs/>
        </w:rPr>
      </w:pPr>
    </w:p>
    <w:p w:rsidR="00C004F2" w:rsidRDefault="00C004F2">
      <w:pPr>
        <w:pStyle w:val="PlainText"/>
        <w:rPr>
          <w:rFonts w:eastAsia="MS Mincho" w:cs="Arial"/>
          <w:b/>
          <w:bCs/>
        </w:rPr>
      </w:pPr>
    </w:p>
    <w:p w:rsidR="00C004F2" w:rsidRDefault="00C004F2">
      <w:pPr>
        <w:pStyle w:val="PlainText"/>
        <w:jc w:val="center"/>
        <w:rPr>
          <w:rFonts w:eastAsia="MS Mincho" w:cs="Arial"/>
          <w:b/>
          <w:bCs/>
        </w:rPr>
      </w:pPr>
    </w:p>
    <w:p w:rsidR="00C004F2" w:rsidRPr="00FA520B" w:rsidRDefault="002E73C0" w:rsidP="00FA520B">
      <w:pPr>
        <w:pStyle w:val="Title"/>
      </w:pPr>
      <w:proofErr w:type="spellStart"/>
      <w:r>
        <w:t>JTapi</w:t>
      </w:r>
      <w:proofErr w:type="spellEnd"/>
      <w:r>
        <w:t xml:space="preserve"> Job Ticket Element list</w:t>
      </w:r>
    </w:p>
    <w:p w:rsidR="00FA520B" w:rsidRDefault="00FA520B" w:rsidP="00E9093D">
      <w:pPr>
        <w:pStyle w:val="Subtitle"/>
      </w:pPr>
    </w:p>
    <w:p w:rsidR="00C004F2" w:rsidRDefault="002E73C0" w:rsidP="00E9093D">
      <w:pPr>
        <w:pStyle w:val="Subtitle"/>
      </w:pPr>
      <w:r>
        <w:t>White Paper</w:t>
      </w:r>
    </w:p>
    <w:p w:rsidR="00FA520B" w:rsidRDefault="00FA520B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2E73C0" w:rsidRDefault="002E73C0" w:rsidP="00FA520B">
      <w:pPr>
        <w:pStyle w:val="Default"/>
      </w:pPr>
    </w:p>
    <w:p w:rsidR="00C004F2" w:rsidRPr="007C2FBC" w:rsidRDefault="00C20778" w:rsidP="00DA1549">
      <w:pPr>
        <w:pStyle w:val="IEEEStdsParagraph"/>
        <w:sectPr w:rsidR="00C004F2" w:rsidRPr="007C2FBC" w:rsidSect="00EB263E">
          <w:headerReference w:type="default" r:id="rId8"/>
          <w:footerReference w:type="default" r:id="rId9"/>
          <w:footerReference w:type="first" r:id="rId10"/>
          <w:pgSz w:w="12240" w:h="15840"/>
          <w:pgMar w:top="1440" w:right="1319" w:bottom="1440" w:left="1319" w:header="720" w:footer="720" w:gutter="0"/>
          <w:pgBorders w:offsetFrom="page">
            <w:top w:val="single" w:sz="4" w:space="24" w:color="000000"/>
          </w:pgBorders>
          <w:cols w:space="720"/>
          <w:docGrid w:linePitch="360"/>
        </w:sectPr>
      </w:pPr>
      <w:hyperlink r:id="rId11" w:history="1">
        <w:r w:rsidR="00A409E2" w:rsidRPr="00AA49B5">
          <w:rPr>
            <w:rStyle w:val="Hyperlink"/>
          </w:rPr>
          <w:t>ftp://ftp.pwg.org/pub/pwg/mfd/white/JTAPImap10--20111207.pdf</w:t>
        </w:r>
      </w:hyperlink>
      <w:r w:rsidR="00585D2D">
        <w:t xml:space="preserve"> </w:t>
      </w:r>
    </w:p>
    <w:p w:rsidR="0081333C" w:rsidRDefault="0081333C" w:rsidP="00A409E2">
      <w:pPr>
        <w:pStyle w:val="IEEEStdsLevel1Header"/>
      </w:pPr>
      <w:bookmarkStart w:id="0" w:name="_Toc221100445"/>
      <w:bookmarkStart w:id="1" w:name="_Toc221101439"/>
      <w:bookmarkStart w:id="2" w:name="_Toc310230877"/>
      <w:bookmarkEnd w:id="0"/>
      <w:bookmarkEnd w:id="1"/>
      <w:r>
        <w:lastRenderedPageBreak/>
        <w:t>JT</w:t>
      </w:r>
      <w:r w:rsidR="00D92511">
        <w:t>API</w:t>
      </w:r>
      <w:r>
        <w:t xml:space="preserve"> Job Ticket Element </w:t>
      </w:r>
      <w:r w:rsidR="00A409E2">
        <w:t>L</w:t>
      </w:r>
      <w:r>
        <w:t>ist</w:t>
      </w:r>
      <w:bookmarkEnd w:id="2"/>
    </w:p>
    <w:p w:rsidR="00A409E2" w:rsidRDefault="00A409E2" w:rsidP="005C636B">
      <w:pPr>
        <w:pStyle w:val="Default"/>
      </w:pPr>
      <w:r>
        <w:t>The following mapping of</w:t>
      </w:r>
      <w:r w:rsidR="00D92511">
        <w:t xml:space="preserve"> the Free Standards Group Job Ticket API (JTAPI - </w:t>
      </w:r>
      <w:hyperlink r:id="rId12" w:history="1">
        <w:r w:rsidR="00D92511" w:rsidRPr="00732210">
          <w:rPr>
            <w:rStyle w:val="Hyperlink"/>
          </w:rPr>
          <w:t>ftp://ftp.pwg.org/pub/pwg/fsg/jobticket/JTAPI_Spec/fsg-openprinting-job-ticket-api-v0100-20050315.pdf</w:t>
        </w:r>
      </w:hyperlink>
      <w:r w:rsidR="00D92511">
        <w:t xml:space="preserve">) </w:t>
      </w:r>
      <w:r>
        <w:t xml:space="preserve">Job Ticket </w:t>
      </w:r>
      <w:r w:rsidR="00C873DF">
        <w:t>elements</w:t>
      </w:r>
      <w:r>
        <w:t xml:space="preserve"> to elements of the PWG Semantic Model as represented in v1.55 of the </w:t>
      </w:r>
      <w:proofErr w:type="spellStart"/>
      <w:r>
        <w:t>PwgPrintJobTicket</w:t>
      </w:r>
      <w:proofErr w:type="spellEnd"/>
      <w:r>
        <w:t xml:space="preserve"> Schema was developed in specifying the PWG Print Job Ticket. </w:t>
      </w:r>
      <w:r w:rsidR="00D92511">
        <w:t xml:space="preserve">This mapping </w:t>
      </w:r>
      <w:r>
        <w:t xml:space="preserve">has been </w:t>
      </w:r>
      <w:r w:rsidR="005C636B">
        <w:t>extracted from the prototype version of the</w:t>
      </w:r>
      <w:r w:rsidR="005C636B" w:rsidRPr="005C636B">
        <w:rPr>
          <w:rFonts w:cs="Arial"/>
          <w:color w:val="000000"/>
        </w:rPr>
        <w:t xml:space="preserve"> </w:t>
      </w:r>
      <w:r w:rsidR="005C636B" w:rsidRPr="005C636B">
        <w:rPr>
          <w:rFonts w:cs="Arial"/>
          <w:bCs/>
          <w:color w:val="000000"/>
        </w:rPr>
        <w:t>PWG Print Job Ticket and Associated Capabilities best practices document</w:t>
      </w:r>
      <w:r w:rsidR="005C636B">
        <w:rPr>
          <w:rFonts w:cs="Arial"/>
          <w:bCs/>
          <w:color w:val="000000"/>
        </w:rPr>
        <w:t xml:space="preserve"> and retrained as a White Paper for future reference. This document has not been reviewed by any </w:t>
      </w:r>
      <w:proofErr w:type="gramStart"/>
      <w:r w:rsidR="005C636B">
        <w:rPr>
          <w:rFonts w:cs="Arial"/>
          <w:bCs/>
          <w:color w:val="000000"/>
        </w:rPr>
        <w:t>PWG  Working</w:t>
      </w:r>
      <w:proofErr w:type="gramEnd"/>
      <w:r w:rsidR="005C636B">
        <w:rPr>
          <w:rFonts w:cs="Arial"/>
          <w:bCs/>
          <w:color w:val="000000"/>
        </w:rPr>
        <w:t xml:space="preserve"> Group nor does it reflect any changes to the </w:t>
      </w:r>
      <w:r w:rsidR="005C636B" w:rsidRPr="005C636B">
        <w:rPr>
          <w:rFonts w:cs="Arial"/>
          <w:bCs/>
          <w:color w:val="000000"/>
        </w:rPr>
        <w:t>PWG Print Job Ticket and Associated Capabilities</w:t>
      </w:r>
      <w:r w:rsidR="005C636B">
        <w:rPr>
          <w:rFonts w:cs="Arial"/>
          <w:bCs/>
          <w:color w:val="000000"/>
        </w:rPr>
        <w:t xml:space="preserve"> document made after December 7, 2011.</w:t>
      </w:r>
    </w:p>
    <w:p w:rsidR="00C873DF" w:rsidRDefault="005C636B" w:rsidP="0081333C">
      <w:pPr>
        <w:pStyle w:val="IEEEStdsParagraph"/>
      </w:pPr>
      <w:r>
        <w:t>JTAPI element</w:t>
      </w:r>
      <w:r w:rsidR="00D92511">
        <w:t>s</w:t>
      </w:r>
      <w:r>
        <w:t xml:space="preserve"> are </w:t>
      </w:r>
      <w:r w:rsidR="00C873DF">
        <w:t xml:space="preserve">grouped by </w:t>
      </w:r>
      <w:r w:rsidR="004A26FC">
        <w:t>object</w:t>
      </w:r>
      <w:r w:rsidR="00C873DF">
        <w:t xml:space="preserve"> class.  Optional objects </w:t>
      </w:r>
      <w:r>
        <w:t xml:space="preserve">are </w:t>
      </w:r>
      <w:r w:rsidR="00C873DF">
        <w:t>marked with “(O)”.</w:t>
      </w:r>
      <w:r w:rsidR="00D40DCD">
        <w:t xml:space="preserve">  The “Include” </w:t>
      </w:r>
      <w:r w:rsidR="004A26FC">
        <w:t>column</w:t>
      </w:r>
      <w:r w:rsidR="00D40DCD">
        <w:t xml:space="preserve"> indicates if the element is included in the </w:t>
      </w:r>
      <w:r>
        <w:t xml:space="preserve">PWG </w:t>
      </w:r>
      <w:r w:rsidR="006F6531">
        <w:t>REQUIRED</w:t>
      </w:r>
      <w:r w:rsidR="00205E7F" w:rsidRPr="00D40DCD">
        <w:t xml:space="preserve"> </w:t>
      </w:r>
      <w:r w:rsidR="00D40DCD" w:rsidRPr="00D40DCD">
        <w:t xml:space="preserve">and </w:t>
      </w:r>
      <w:r w:rsidR="006F6531">
        <w:t>CONDITIONALLY REQUIRED</w:t>
      </w:r>
      <w:r w:rsidR="00205E7F" w:rsidRPr="00D40DCD">
        <w:t xml:space="preserve"> </w:t>
      </w:r>
      <w:r w:rsidR="00D40DCD" w:rsidRPr="00D40DCD">
        <w:t>Print Job Ticket Elements</w:t>
      </w:r>
      <w:r w:rsidR="00D40DCD">
        <w:t>.</w:t>
      </w:r>
    </w:p>
    <w:tbl>
      <w:tblPr>
        <w:tblStyle w:val="TableGrid"/>
        <w:tblW w:w="0" w:type="auto"/>
        <w:tblLook w:val="04A0"/>
      </w:tblPr>
      <w:tblGrid>
        <w:gridCol w:w="2323"/>
        <w:gridCol w:w="4925"/>
        <w:gridCol w:w="1591"/>
      </w:tblGrid>
      <w:tr w:rsidR="001C5F8B" w:rsidRPr="00F35149" w:rsidTr="001C5F8B">
        <w:trPr>
          <w:cantSplit/>
          <w:tblHeader/>
        </w:trPr>
        <w:tc>
          <w:tcPr>
            <w:tcW w:w="2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5F8B" w:rsidRPr="00F35149" w:rsidRDefault="00D92511" w:rsidP="0081333C">
            <w:pPr>
              <w:pStyle w:val="IEEEStdsParagraph"/>
            </w:pPr>
            <w:r>
              <w:t xml:space="preserve">JTAPI </w:t>
            </w:r>
            <w:r w:rsidR="001C5F8B">
              <w:t>element</w:t>
            </w:r>
          </w:p>
        </w:tc>
        <w:tc>
          <w:tcPr>
            <w:tcW w:w="49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C5F8B" w:rsidRPr="00F35149" w:rsidRDefault="001C5F8B" w:rsidP="00037FE2">
            <w:pPr>
              <w:pStyle w:val="IEEEStdsParagraph"/>
              <w:jc w:val="left"/>
            </w:pPr>
            <w:r>
              <w:t>Corresponding PWG SM Element</w:t>
            </w:r>
          </w:p>
        </w:tc>
        <w:tc>
          <w:tcPr>
            <w:tcW w:w="15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1C5F8B" w:rsidRDefault="001C5F8B" w:rsidP="0081333C">
            <w:pPr>
              <w:pStyle w:val="IEEEStdsParagraph"/>
            </w:pPr>
            <w:r>
              <w:t>Include</w:t>
            </w:r>
          </w:p>
        </w:tc>
      </w:tr>
      <w:tr w:rsidR="001C5F8B" w:rsidRPr="00F35149" w:rsidTr="001C5F8B">
        <w:tc>
          <w:tcPr>
            <w:tcW w:w="2323" w:type="dxa"/>
            <w:tcBorders>
              <w:top w:val="single" w:sz="18" w:space="0" w:color="000000"/>
            </w:tcBorders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ContactInfo</w:t>
            </w:r>
            <w:proofErr w:type="spellEnd"/>
            <w:r w:rsidRPr="00F35149">
              <w:t xml:space="preserve"> (O)</w:t>
            </w:r>
          </w:p>
        </w:tc>
        <w:tc>
          <w:tcPr>
            <w:tcW w:w="4925" w:type="dxa"/>
            <w:tcBorders>
              <w:top w:val="single" w:sz="18" w:space="0" w:color="000000"/>
            </w:tcBorders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JobPhoneNumber</w:t>
            </w:r>
            <w:proofErr w:type="spellEnd"/>
            <w:r w:rsidRPr="00F35149">
              <w:t xml:space="preserve">, </w:t>
            </w:r>
            <w:proofErr w:type="spellStart"/>
            <w:r w:rsidRPr="00F35149">
              <w:t>JobRecipientName</w:t>
            </w:r>
            <w:proofErr w:type="spellEnd"/>
          </w:p>
        </w:tc>
        <w:tc>
          <w:tcPr>
            <w:tcW w:w="1500" w:type="dxa"/>
            <w:tcBorders>
              <w:top w:val="single" w:sz="18" w:space="0" w:color="000000"/>
            </w:tcBorders>
          </w:tcPr>
          <w:p w:rsidR="001C5F8B" w:rsidRPr="00F35149" w:rsidRDefault="001C5F8B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contact-info-name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contact-info-roles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Destination (O)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ServiceXriSupported</w:t>
            </w:r>
            <w:proofErr w:type="spellEnd"/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Document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Document</w:t>
            </w:r>
          </w:p>
        </w:tc>
        <w:tc>
          <w:tcPr>
            <w:tcW w:w="1500" w:type="dxa"/>
          </w:tcPr>
          <w:p w:rsidR="001C5F8B" w:rsidRPr="00F35149" w:rsidRDefault="00EB263E" w:rsidP="0081333C">
            <w:pPr>
              <w:pStyle w:val="IEEEStdsParagraph"/>
            </w:pPr>
            <w:r>
              <w:t>implicit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document-data-</w:t>
            </w:r>
            <w:proofErr w:type="spellStart"/>
            <w:r w:rsidRPr="00F35149">
              <w:t>uri</w:t>
            </w:r>
            <w:proofErr w:type="spellEnd"/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DocumentUri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Folding (O)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JobFinishings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ForcePage</w:t>
            </w:r>
            <w:proofErr w:type="spellEnd"/>
            <w:r w:rsidRPr="00F35149">
              <w:t xml:space="preserve"> (O)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ForceFrontSide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HoleMaking</w:t>
            </w:r>
            <w:proofErr w:type="spellEnd"/>
            <w:r w:rsidRPr="00F35149">
              <w:t xml:space="preserve"> (O)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JobFinishings</w:t>
            </w:r>
            <w:proofErr w:type="spellEnd"/>
            <w:r w:rsidRPr="00F35149">
              <w:t xml:space="preserve">, </w:t>
            </w:r>
            <w:proofErr w:type="spellStart"/>
            <w:r w:rsidRPr="00F35149">
              <w:t>MedaCol.MediaHoleCount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InsertSheet</w:t>
            </w:r>
            <w:proofErr w:type="spellEnd"/>
            <w:r w:rsidRPr="00F35149">
              <w:t xml:space="preserve"> (O)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InsertSheet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insert-sheet-pages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insert-sheet-position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Job</w:t>
            </w:r>
          </w:p>
        </w:tc>
        <w:tc>
          <w:tcPr>
            <w:tcW w:w="1500" w:type="dxa"/>
          </w:tcPr>
          <w:p w:rsidR="001C5F8B" w:rsidRPr="00F35149" w:rsidRDefault="00EB263E" w:rsidP="0081333C">
            <w:pPr>
              <w:pStyle w:val="IEEEStdsParagraph"/>
            </w:pPr>
            <w:r>
              <w:t>implicit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job-compression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Compression/</w:t>
            </w:r>
            <w:proofErr w:type="spellStart"/>
            <w:r w:rsidRPr="00F35149">
              <w:t>CompressionSupplied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lastRenderedPageBreak/>
              <w:t>job-create-user-name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JobOriginatingUserName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job-destinations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ServiceUri</w:t>
            </w:r>
            <w:proofErr w:type="spellEnd"/>
          </w:p>
        </w:tc>
        <w:tc>
          <w:tcPr>
            <w:tcW w:w="1500" w:type="dxa"/>
          </w:tcPr>
          <w:p w:rsidR="001C5F8B" w:rsidRPr="00F35149" w:rsidRDefault="00EB263E" w:rsidP="0081333C">
            <w:pPr>
              <w:pStyle w:val="IEEEStdsParagraph"/>
            </w:pPr>
            <w:r>
              <w:t>implicit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job-document-format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DocumentFormat</w:t>
            </w:r>
            <w:proofErr w:type="spellEnd"/>
            <w:r w:rsidRPr="00F35149">
              <w:t>/</w:t>
            </w:r>
            <w:proofErr w:type="spellStart"/>
            <w:r w:rsidRPr="00F35149">
              <w:t>DocumentFormatSupplied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job-documents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Overrides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job-fit-policy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 xml:space="preserve">no mapping (Perhaps </w:t>
            </w:r>
            <w:proofErr w:type="spellStart"/>
            <w:r w:rsidRPr="00F35149">
              <w:t>Scaling.AutoScaling</w:t>
            </w:r>
            <w:proofErr w:type="spellEnd"/>
            <w:r w:rsidRPr="00F35149">
              <w:t xml:space="preserve"> from services like scan)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job-margin-bottom</w:t>
            </w:r>
          </w:p>
        </w:tc>
        <w:tc>
          <w:tcPr>
            <w:tcW w:w="4925" w:type="dxa"/>
          </w:tcPr>
          <w:p w:rsidR="001C5F8B" w:rsidRPr="00F35149" w:rsidRDefault="00EB263E" w:rsidP="00037FE2">
            <w:pPr>
              <w:pStyle w:val="IEEEStdsParagraph"/>
              <w:jc w:val="left"/>
            </w:pPr>
            <w:proofErr w:type="spellStart"/>
            <w:r>
              <w:t>MediaBottomMarginSupported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proofErr w:type="spellStart"/>
            <w:r>
              <w:t>ServiceLevel</w:t>
            </w:r>
            <w:proofErr w:type="spellEnd"/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job-margin-left</w:t>
            </w:r>
          </w:p>
        </w:tc>
        <w:tc>
          <w:tcPr>
            <w:tcW w:w="4925" w:type="dxa"/>
          </w:tcPr>
          <w:p w:rsidR="001C5F8B" w:rsidRPr="00F35149" w:rsidRDefault="00EB263E" w:rsidP="00037FE2">
            <w:pPr>
              <w:pStyle w:val="IEEEStdsParagraph"/>
              <w:jc w:val="left"/>
            </w:pPr>
            <w:proofErr w:type="spellStart"/>
            <w:r>
              <w:t>MediaLeftMarginSupported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proofErr w:type="spellStart"/>
            <w:r>
              <w:t>ServiceLevel</w:t>
            </w:r>
            <w:proofErr w:type="spellEnd"/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job-margin-right</w:t>
            </w:r>
          </w:p>
        </w:tc>
        <w:tc>
          <w:tcPr>
            <w:tcW w:w="4925" w:type="dxa"/>
          </w:tcPr>
          <w:p w:rsidR="001C5F8B" w:rsidRPr="00F35149" w:rsidRDefault="00EB263E" w:rsidP="00037FE2">
            <w:pPr>
              <w:pStyle w:val="IEEEStdsParagraph"/>
              <w:jc w:val="left"/>
            </w:pPr>
            <w:proofErr w:type="spellStart"/>
            <w:r>
              <w:t>MediaRightMarginSupported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proofErr w:type="spellStart"/>
            <w:r>
              <w:t>ServiceLevel</w:t>
            </w:r>
            <w:proofErr w:type="spellEnd"/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job-margin-top</w:t>
            </w:r>
          </w:p>
        </w:tc>
        <w:tc>
          <w:tcPr>
            <w:tcW w:w="4925" w:type="dxa"/>
          </w:tcPr>
          <w:p w:rsidR="001C5F8B" w:rsidRPr="00F35149" w:rsidRDefault="00EB263E" w:rsidP="00037FE2">
            <w:pPr>
              <w:pStyle w:val="IEEEStdsParagraph"/>
              <w:jc w:val="left"/>
            </w:pPr>
            <w:proofErr w:type="spellStart"/>
            <w:r>
              <w:t>MediaTopMarginSupported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proofErr w:type="spellStart"/>
            <w:r>
              <w:t>ServiceLevel</w:t>
            </w:r>
            <w:proofErr w:type="spellEnd"/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job-media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 xml:space="preserve">Media, </w:t>
            </w:r>
            <w:proofErr w:type="spellStart"/>
            <w:r w:rsidRPr="00F35149">
              <w:t>MediaType</w:t>
            </w:r>
            <w:proofErr w:type="spellEnd"/>
            <w:r w:rsidRPr="00F35149">
              <w:t xml:space="preserve">, </w:t>
            </w:r>
            <w:proofErr w:type="spellStart"/>
            <w:r w:rsidRPr="00F35149">
              <w:t>MediaSource</w:t>
            </w:r>
            <w:proofErr w:type="spellEnd"/>
            <w:r w:rsidRPr="00F35149">
              <w:t>, MediaCol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Yes, Yes, No, 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job-output-pages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???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job-print-quality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Quality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job-priority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JobPriority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job-resolution-x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Resolution</w:t>
            </w:r>
            <w:r w:rsidR="00037FE2">
              <w:t xml:space="preserve"> (Or maybe </w:t>
            </w:r>
            <w:proofErr w:type="spellStart"/>
            <w:r w:rsidR="00037FE2" w:rsidRPr="008703B7">
              <w:t>PwgRasterDocumentResolutionSupported</w:t>
            </w:r>
            <w:proofErr w:type="spellEnd"/>
            <w:r w:rsidR="00037FE2">
              <w:t>)</w:t>
            </w:r>
          </w:p>
        </w:tc>
        <w:tc>
          <w:tcPr>
            <w:tcW w:w="1500" w:type="dxa"/>
          </w:tcPr>
          <w:p w:rsidR="001C5F8B" w:rsidRPr="00F35149" w:rsidRDefault="007171E1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job-resolution-y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Resolution</w:t>
            </w:r>
            <w:r w:rsidR="00037FE2">
              <w:t xml:space="preserve"> (Or maybe </w:t>
            </w:r>
            <w:proofErr w:type="spellStart"/>
            <w:r w:rsidR="00037FE2" w:rsidRPr="008703B7">
              <w:t>PwgRasterDocumentResolutionSupported</w:t>
            </w:r>
            <w:proofErr w:type="spellEnd"/>
            <w:r w:rsidR="00037FE2">
              <w:t>)</w:t>
            </w:r>
          </w:p>
        </w:tc>
        <w:tc>
          <w:tcPr>
            <w:tcW w:w="1500" w:type="dxa"/>
          </w:tcPr>
          <w:p w:rsidR="001C5F8B" w:rsidRPr="00F35149" w:rsidRDefault="007171E1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job-scaling-factor-</w:t>
            </w:r>
            <w:proofErr w:type="spellStart"/>
            <w:r w:rsidRPr="00F35149">
              <w:t>xN</w:t>
            </w:r>
            <w:proofErr w:type="spellEnd"/>
            <w:r w:rsidRPr="00F35149">
              <w:t>/A (Perhaps Scaling from services like scan)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JobDocument</w:t>
            </w:r>
            <w:proofErr w:type="spellEnd"/>
            <w:r w:rsidRPr="00F35149">
              <w:t xml:space="preserve"> Page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Overrides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JobTicketInfo</w:t>
            </w:r>
            <w:proofErr w:type="spellEnd"/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jt-api-charset</w:t>
            </w:r>
            <w:proofErr w:type="spellEnd"/>
          </w:p>
        </w:tc>
        <w:tc>
          <w:tcPr>
            <w:tcW w:w="4925" w:type="dxa"/>
          </w:tcPr>
          <w:p w:rsidR="001C5F8B" w:rsidRPr="00F35149" w:rsidRDefault="00D40DCD" w:rsidP="00037FE2">
            <w:pPr>
              <w:pStyle w:val="IEEEStdsParagraph"/>
              <w:jc w:val="left"/>
            </w:pPr>
            <w:r>
              <w:t>N/A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jt</w:t>
            </w:r>
            <w:proofErr w:type="spellEnd"/>
            <w:r w:rsidRPr="00F35149">
              <w:t>-</w:t>
            </w:r>
            <w:proofErr w:type="spellStart"/>
            <w:r w:rsidRPr="00F35149">
              <w:t>api</w:t>
            </w:r>
            <w:proofErr w:type="spellEnd"/>
            <w:r w:rsidRPr="00F35149">
              <w:t>-version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ServiceDescription.VersionsSupported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Service Level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jt-charset</w:t>
            </w:r>
            <w:proofErr w:type="spellEnd"/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ServiceDescription.CharsetConfigured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 (UTF-8)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jt</w:t>
            </w:r>
            <w:proofErr w:type="spellEnd"/>
            <w:r w:rsidRPr="00F35149">
              <w:t>-fidelity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PrintJobTicket.MustHonor</w:t>
            </w:r>
            <w:proofErr w:type="spellEnd"/>
            <w:r w:rsidRPr="00F35149">
              <w:t xml:space="preserve">, </w:t>
            </w:r>
            <w:proofErr w:type="spellStart"/>
            <w:r w:rsidRPr="00F35149">
              <w:t>JobMandatoryElements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jt</w:t>
            </w:r>
            <w:proofErr w:type="spellEnd"/>
            <w:r w:rsidRPr="00F35149">
              <w:t>-job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Job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lastRenderedPageBreak/>
              <w:t>jt</w:t>
            </w:r>
            <w:proofErr w:type="spellEnd"/>
            <w:r w:rsidRPr="00F35149">
              <w:t>-length-units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N/A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jt</w:t>
            </w:r>
            <w:proofErr w:type="spellEnd"/>
            <w:r w:rsidRPr="00F35149">
              <w:t>-type-and-version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Namespace of the service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Media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>Media, MediaCol</w:t>
            </w:r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Yes, 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media-front-coating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MediaCol.MediaFrontCoating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media-manual-feed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MediaSource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media-size-name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r w:rsidRPr="00F35149">
              <w:t xml:space="preserve">Media, </w:t>
            </w:r>
            <w:proofErr w:type="spellStart"/>
            <w:r w:rsidRPr="00F35149">
              <w:t>MediaCol.MediaSizeName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Yes, 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media-type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MediaType</w:t>
            </w:r>
            <w:proofErr w:type="spellEnd"/>
            <w:r w:rsidRPr="00F35149">
              <w:t xml:space="preserve">, </w:t>
            </w:r>
            <w:proofErr w:type="spellStart"/>
            <w:r w:rsidRPr="00F35149">
              <w:t>MediaCol.MediaType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Yes, 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PageRange</w:t>
            </w:r>
            <w:proofErr w:type="spellEnd"/>
            <w:r w:rsidRPr="00F35149">
              <w:t xml:space="preserve"> (O)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PageRanges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proofErr w:type="spellStart"/>
            <w:r w:rsidRPr="00F35149">
              <w:t>SeparatorSheet</w:t>
            </w:r>
            <w:proofErr w:type="spellEnd"/>
            <w:r w:rsidRPr="00F35149">
              <w:t xml:space="preserve"> (O)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SeparatorSheets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separator-sheet-type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SeparatorSheets.SeparatorSheetsType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No</w:t>
            </w: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F35149" w:rsidRDefault="001C5F8B" w:rsidP="0081333C">
            <w:pPr>
              <w:pStyle w:val="IEEEStdsParagraph"/>
            </w:pPr>
          </w:p>
        </w:tc>
      </w:tr>
      <w:tr w:rsidR="001C5F8B" w:rsidRPr="00F35149" w:rsidTr="001C5F8B">
        <w:tc>
          <w:tcPr>
            <w:tcW w:w="2323" w:type="dxa"/>
          </w:tcPr>
          <w:p w:rsidR="001C5F8B" w:rsidRPr="00F35149" w:rsidRDefault="001C5F8B" w:rsidP="0081333C">
            <w:pPr>
              <w:pStyle w:val="IEEEStdsParagraph"/>
            </w:pPr>
            <w:r w:rsidRPr="00F35149">
              <w:t>Stitching (O)</w:t>
            </w:r>
          </w:p>
        </w:tc>
        <w:tc>
          <w:tcPr>
            <w:tcW w:w="4925" w:type="dxa"/>
          </w:tcPr>
          <w:p w:rsidR="001C5F8B" w:rsidRPr="00F35149" w:rsidRDefault="001C5F8B" w:rsidP="00037FE2">
            <w:pPr>
              <w:pStyle w:val="IEEEStdsParagraph"/>
              <w:jc w:val="left"/>
            </w:pPr>
            <w:proofErr w:type="spellStart"/>
            <w:r w:rsidRPr="00F35149">
              <w:t>JobFinishings</w:t>
            </w:r>
            <w:proofErr w:type="spellEnd"/>
            <w:r w:rsidRPr="00F35149">
              <w:t xml:space="preserve">, </w:t>
            </w:r>
            <w:proofErr w:type="spellStart"/>
            <w:r w:rsidRPr="00F35149">
              <w:t>FinishingsCol.Stitching</w:t>
            </w:r>
            <w:proofErr w:type="spellEnd"/>
          </w:p>
        </w:tc>
        <w:tc>
          <w:tcPr>
            <w:tcW w:w="1500" w:type="dxa"/>
          </w:tcPr>
          <w:p w:rsidR="001C5F8B" w:rsidRPr="00F35149" w:rsidRDefault="00D40DCD" w:rsidP="0081333C">
            <w:pPr>
              <w:pStyle w:val="IEEEStdsParagraph"/>
            </w:pPr>
            <w:r>
              <w:t>Yes, No</w:t>
            </w:r>
          </w:p>
        </w:tc>
      </w:tr>
      <w:tr w:rsidR="001C5F8B" w:rsidRPr="001337A0" w:rsidTr="001C5F8B">
        <w:tc>
          <w:tcPr>
            <w:tcW w:w="2323" w:type="dxa"/>
          </w:tcPr>
          <w:p w:rsidR="001C5F8B" w:rsidRPr="001337A0" w:rsidRDefault="001C5F8B" w:rsidP="0081333C">
            <w:pPr>
              <w:pStyle w:val="IEEEStdsParagraph"/>
            </w:pPr>
            <w:r w:rsidRPr="00F35149">
              <w:t>stitching-type</w:t>
            </w:r>
          </w:p>
        </w:tc>
        <w:tc>
          <w:tcPr>
            <w:tcW w:w="4925" w:type="dxa"/>
          </w:tcPr>
          <w:p w:rsidR="001C5F8B" w:rsidRPr="001337A0" w:rsidRDefault="001C5F8B" w:rsidP="00037FE2">
            <w:pPr>
              <w:pStyle w:val="IEEEStdsParagraph"/>
              <w:jc w:val="left"/>
            </w:pPr>
          </w:p>
        </w:tc>
        <w:tc>
          <w:tcPr>
            <w:tcW w:w="1500" w:type="dxa"/>
          </w:tcPr>
          <w:p w:rsidR="001C5F8B" w:rsidRPr="001337A0" w:rsidRDefault="00D40DCD" w:rsidP="0081333C">
            <w:pPr>
              <w:pStyle w:val="IEEEStdsParagraph"/>
            </w:pPr>
            <w:r>
              <w:t>No</w:t>
            </w:r>
          </w:p>
        </w:tc>
      </w:tr>
    </w:tbl>
    <w:p w:rsidR="001C2BEB" w:rsidRPr="001337A0" w:rsidRDefault="001C2BEB" w:rsidP="0081333C">
      <w:pPr>
        <w:pStyle w:val="IEEEStdsParagraph"/>
      </w:pPr>
    </w:p>
    <w:sectPr w:rsidR="001C2BEB" w:rsidRPr="001337A0" w:rsidSect="00A409E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325" w:bottom="1440" w:left="1325" w:header="720" w:footer="720" w:gutter="0"/>
      <w:pgBorders w:offsetFrom="page">
        <w:top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CD" w:rsidRDefault="007C11CD">
      <w:r>
        <w:separator/>
      </w:r>
    </w:p>
  </w:endnote>
  <w:endnote w:type="continuationSeparator" w:id="0">
    <w:p w:rsidR="007C11CD" w:rsidRDefault="007C1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6" w:rsidRDefault="002A2D86">
    <w:pPr>
      <w:pStyle w:val="Footer"/>
      <w:jc w:val="center"/>
    </w:pPr>
    <w:r>
      <w:rPr>
        <w:rStyle w:val="PageNumber"/>
      </w:rPr>
      <w:t>Copyright © 2011 The Printer Working Group.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6" w:rsidRDefault="002A2D86">
    <w:pPr>
      <w:pStyle w:val="Footer"/>
    </w:pPr>
    <w:r>
      <w:t xml:space="preserve">Page </w:t>
    </w:r>
    <w:r w:rsidR="00C2077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20778">
      <w:rPr>
        <w:rStyle w:val="PageNumber"/>
      </w:rPr>
      <w:fldChar w:fldCharType="separate"/>
    </w:r>
    <w:r>
      <w:rPr>
        <w:rStyle w:val="PageNumber"/>
        <w:noProof/>
      </w:rPr>
      <w:t>2</w:t>
    </w:r>
    <w:r w:rsidR="00C20778">
      <w:rPr>
        <w:rStyle w:val="PageNumber"/>
      </w:rPr>
      <w:fldChar w:fldCharType="end"/>
    </w:r>
    <w:r>
      <w:rPr>
        <w:rStyle w:val="PageNumber"/>
      </w:rPr>
      <w:t xml:space="preserve"> of </w:t>
    </w:r>
    <w:r w:rsidR="00C2077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20778">
      <w:rPr>
        <w:rStyle w:val="PageNumber"/>
      </w:rPr>
      <w:fldChar w:fldCharType="separate"/>
    </w:r>
    <w:r>
      <w:rPr>
        <w:rStyle w:val="PageNumber"/>
        <w:noProof/>
      </w:rPr>
      <w:t>66</w:t>
    </w:r>
    <w:r w:rsidR="00C20778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6" w:rsidRDefault="002A2D86">
    <w:pPr>
      <w:pStyle w:val="Footer"/>
      <w:pBdr>
        <w:top w:val="single" w:sz="4" w:space="1" w:color="auto"/>
      </w:pBdr>
    </w:pPr>
    <w:r>
      <w:t xml:space="preserve">Page </w:t>
    </w:r>
    <w:r w:rsidR="00C2077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20778">
      <w:rPr>
        <w:rStyle w:val="PageNumber"/>
      </w:rPr>
      <w:fldChar w:fldCharType="separate"/>
    </w:r>
    <w:r w:rsidR="00D92511">
      <w:rPr>
        <w:rStyle w:val="PageNumber"/>
        <w:noProof/>
      </w:rPr>
      <w:t>4</w:t>
    </w:r>
    <w:r w:rsidR="00C20778">
      <w:rPr>
        <w:rStyle w:val="PageNumber"/>
      </w:rPr>
      <w:fldChar w:fldCharType="end"/>
    </w:r>
    <w:r>
      <w:rPr>
        <w:rStyle w:val="PageNumber"/>
      </w:rPr>
      <w:t xml:space="preserve"> of </w:t>
    </w:r>
    <w:r w:rsidR="00C2077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20778">
      <w:rPr>
        <w:rStyle w:val="PageNumber"/>
      </w:rPr>
      <w:fldChar w:fldCharType="separate"/>
    </w:r>
    <w:r w:rsidR="00D92511">
      <w:rPr>
        <w:rStyle w:val="PageNumber"/>
        <w:noProof/>
      </w:rPr>
      <w:t>4</w:t>
    </w:r>
    <w:r w:rsidR="00C20778">
      <w:rPr>
        <w:rStyle w:val="PageNumber"/>
      </w:rPr>
      <w:fldChar w:fldCharType="end"/>
    </w:r>
    <w:r>
      <w:rPr>
        <w:rStyle w:val="PageNumber"/>
      </w:rPr>
      <w:t xml:space="preserve">                 Copyright © 2011 The Printer Working Group. All rights reserved.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6" w:rsidRDefault="002A2D86">
    <w:pPr>
      <w:pStyle w:val="Footer"/>
    </w:pPr>
    <w:r>
      <w:t xml:space="preserve">Page </w:t>
    </w:r>
    <w:r w:rsidR="00C2077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20778">
      <w:rPr>
        <w:rStyle w:val="PageNumber"/>
      </w:rPr>
      <w:fldChar w:fldCharType="separate"/>
    </w:r>
    <w:r>
      <w:rPr>
        <w:rStyle w:val="PageNumber"/>
        <w:noProof/>
      </w:rPr>
      <w:t>2</w:t>
    </w:r>
    <w:r w:rsidR="00C20778">
      <w:rPr>
        <w:rStyle w:val="PageNumber"/>
      </w:rPr>
      <w:fldChar w:fldCharType="end"/>
    </w:r>
    <w:r>
      <w:rPr>
        <w:rStyle w:val="PageNumber"/>
      </w:rPr>
      <w:t xml:space="preserve"> of </w:t>
    </w:r>
    <w:r w:rsidR="00C2077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20778">
      <w:rPr>
        <w:rStyle w:val="PageNumber"/>
      </w:rPr>
      <w:fldChar w:fldCharType="separate"/>
    </w:r>
    <w:r>
      <w:rPr>
        <w:rStyle w:val="PageNumber"/>
        <w:noProof/>
      </w:rPr>
      <w:t>66</w:t>
    </w:r>
    <w:r w:rsidR="00C20778">
      <w:rPr>
        <w:rStyle w:val="PageNumber"/>
      </w:rPr>
      <w:fldChar w:fldCharType="end"/>
    </w:r>
  </w:p>
  <w:p w:rsidR="002A2D86" w:rsidRDefault="002A2D86"/>
  <w:p w:rsidR="002A2D86" w:rsidRDefault="002A2D86" w:rsidP="00E909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CD" w:rsidRDefault="007C11CD">
      <w:r>
        <w:separator/>
      </w:r>
    </w:p>
  </w:footnote>
  <w:footnote w:type="continuationSeparator" w:id="0">
    <w:p w:rsidR="007C11CD" w:rsidRDefault="007C1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450" w:type="dxa"/>
      <w:tblBorders>
        <w:insideH w:val="single" w:sz="4" w:space="0" w:color="auto"/>
      </w:tblBorders>
      <w:tblLook w:val="0000"/>
    </w:tblPr>
    <w:tblGrid>
      <w:gridCol w:w="4909"/>
      <w:gridCol w:w="4909"/>
    </w:tblGrid>
    <w:tr w:rsidR="002A2D86">
      <w:trPr>
        <w:jc w:val="center"/>
      </w:trPr>
      <w:tc>
        <w:tcPr>
          <w:tcW w:w="4909" w:type="dxa"/>
        </w:tcPr>
        <w:p w:rsidR="002A2D86" w:rsidRDefault="00C20778">
          <w:pPr>
            <w:pStyle w:val="PlainText"/>
            <w:spacing w:before="480"/>
            <w:rPr>
              <w:rFonts w:eastAsia="MS Mincho" w:cs="Arial"/>
              <w:b/>
              <w:bCs/>
            </w:rPr>
          </w:pPr>
          <w:r>
            <w:rPr>
              <w:rFonts w:eastAsia="MS Mincho" w:cs="Arial"/>
              <w:b/>
              <w:bCs/>
            </w:rPr>
            <w:fldChar w:fldCharType="begin"/>
          </w:r>
          <w:r w:rsidR="002A2D86">
            <w:rPr>
              <w:rFonts w:eastAsia="MS Mincho" w:cs="Arial"/>
              <w:b/>
              <w:bCs/>
            </w:rPr>
            <w:instrText xml:space="preserve"> TIME \@ "MMMM d, yyyy" </w:instrText>
          </w:r>
          <w:r>
            <w:rPr>
              <w:rFonts w:eastAsia="MS Mincho" w:cs="Arial"/>
              <w:b/>
              <w:bCs/>
            </w:rPr>
            <w:fldChar w:fldCharType="separate"/>
          </w:r>
          <w:r w:rsidR="00D92511">
            <w:rPr>
              <w:rFonts w:eastAsia="MS Mincho" w:cs="Arial"/>
              <w:b/>
              <w:bCs/>
              <w:noProof/>
            </w:rPr>
            <w:t>December 7, 2011</w:t>
          </w:r>
          <w:r>
            <w:rPr>
              <w:rFonts w:eastAsia="MS Mincho" w:cs="Arial"/>
              <w:b/>
              <w:bCs/>
            </w:rPr>
            <w:fldChar w:fldCharType="end"/>
          </w:r>
        </w:p>
        <w:p w:rsidR="002A2D86" w:rsidRDefault="002A2D86" w:rsidP="002E73C0">
          <w:pPr>
            <w:pStyle w:val="PlainText"/>
          </w:pPr>
        </w:p>
      </w:tc>
      <w:tc>
        <w:tcPr>
          <w:tcW w:w="4909" w:type="dxa"/>
        </w:tcPr>
        <w:p w:rsidR="002A2D86" w:rsidRDefault="002A2D86">
          <w:pPr>
            <w:pStyle w:val="Header"/>
            <w:tabs>
              <w:tab w:val="clear" w:pos="4320"/>
              <w:tab w:val="center" w:pos="1800"/>
            </w:tabs>
            <w:jc w:val="right"/>
          </w:pPr>
          <w:r>
            <w:rPr>
              <w:noProof/>
              <w:sz w:val="48"/>
            </w:rPr>
            <w:drawing>
              <wp:inline distT="0" distB="0" distL="0" distR="0">
                <wp:extent cx="2124075" cy="990600"/>
                <wp:effectExtent l="0" t="0" r="9525" b="0"/>
                <wp:docPr id="25" name="Picture 4" descr="Description: pwg-ha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pwg-ha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2D86" w:rsidRDefault="002A2D86">
    <w:pPr>
      <w:pStyle w:val="Header"/>
      <w:tabs>
        <w:tab w:val="clear" w:pos="4320"/>
        <w:tab w:val="center" w:pos="1800"/>
      </w:tabs>
      <w:ind w:left="-450"/>
      <w:jc w:val="right"/>
    </w:pPr>
    <w:r>
      <w:rPr>
        <w:rFonts w:cs="Arial"/>
        <w:b/>
        <w:bCs/>
        <w:sz w:val="32"/>
      </w:rPr>
      <w:t>The Printer Working Group</w:t>
    </w:r>
  </w:p>
  <w:p w:rsidR="002A2D86" w:rsidRDefault="002A2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6" w:rsidRPr="008939B3" w:rsidRDefault="00A409E2" w:rsidP="002D5612">
    <w:pPr>
      <w:pStyle w:val="Header"/>
      <w:pBdr>
        <w:bottom w:val="single" w:sz="4" w:space="1" w:color="auto"/>
      </w:pBdr>
      <w:tabs>
        <w:tab w:val="clear" w:pos="8640"/>
        <w:tab w:val="right" w:pos="9630"/>
      </w:tabs>
      <w:rPr>
        <w:rFonts w:eastAsia="MS Mincho"/>
      </w:rPr>
    </w:pPr>
    <w:r>
      <w:t xml:space="preserve">White Paper </w:t>
    </w:r>
    <w:r w:rsidR="00D92511">
      <w:t xml:space="preserve">- </w:t>
    </w:r>
    <w:r>
      <w:t>JTAPI Job Ticket Element list</w:t>
    </w:r>
    <w:r>
      <w:tab/>
    </w:r>
    <w:r w:rsidR="00C20778">
      <w:rPr>
        <w:rFonts w:eastAsia="MS Mincho"/>
      </w:rPr>
      <w:fldChar w:fldCharType="begin"/>
    </w:r>
    <w:r w:rsidR="002A2D86">
      <w:rPr>
        <w:rFonts w:eastAsia="MS Mincho"/>
      </w:rPr>
      <w:instrText xml:space="preserve"> TIME \@ "MMMM d, yyyy" </w:instrText>
    </w:r>
    <w:r w:rsidR="00C20778">
      <w:rPr>
        <w:rFonts w:eastAsia="MS Mincho"/>
      </w:rPr>
      <w:fldChar w:fldCharType="separate"/>
    </w:r>
    <w:r w:rsidR="00D92511">
      <w:rPr>
        <w:rFonts w:eastAsia="MS Mincho"/>
        <w:noProof/>
      </w:rPr>
      <w:t>December 7, 2011</w:t>
    </w:r>
    <w:r w:rsidR="00C20778">
      <w:rPr>
        <w:rFonts w:eastAsia="MS Mincho"/>
      </w:rPr>
      <w:fldChar w:fldCharType="end"/>
    </w:r>
  </w:p>
  <w:p w:rsidR="002A2D86" w:rsidRDefault="002A2D8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6" w:rsidRDefault="002A2D86">
    <w:pPr>
      <w:pStyle w:val="Header"/>
    </w:pPr>
    <w:r>
      <w:t xml:space="preserve">Working </w:t>
    </w:r>
    <w:proofErr w:type="gramStart"/>
    <w:r>
      <w:t>Draft  -</w:t>
    </w:r>
    <w:proofErr w:type="gramEnd"/>
    <w:r>
      <w:t xml:space="preserve"> </w:t>
    </w:r>
    <w:r>
      <w:rPr>
        <w:rFonts w:eastAsia="MS Mincho"/>
      </w:rPr>
      <w:t>The 'mailto' Delivery Method for Event Notifications                                    February 2, 2005</w:t>
    </w:r>
  </w:p>
  <w:p w:rsidR="002A2D86" w:rsidRDefault="002A2D86"/>
  <w:p w:rsidR="002A2D86" w:rsidRDefault="002A2D86" w:rsidP="00E909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A24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6612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1F87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36CA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5A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AD6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CC2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0E4E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4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7A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3C1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6E606F"/>
    <w:multiLevelType w:val="hybridMultilevel"/>
    <w:tmpl w:val="ACE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72876"/>
    <w:multiLevelType w:val="hybridMultilevel"/>
    <w:tmpl w:val="F6B8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555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EC5278"/>
    <w:multiLevelType w:val="hybridMultilevel"/>
    <w:tmpl w:val="A6C8B322"/>
    <w:lvl w:ilvl="0" w:tplc="C31C7FFE">
      <w:start w:val="1"/>
      <w:numFmt w:val="decimal"/>
      <w:pStyle w:val="NumberedList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72B200B"/>
    <w:multiLevelType w:val="hybridMultilevel"/>
    <w:tmpl w:val="5A82C150"/>
    <w:lvl w:ilvl="0" w:tplc="7A1C2644">
      <w:start w:val="1"/>
      <w:numFmt w:val="decimal"/>
      <w:pStyle w:val="Heading1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371F6"/>
    <w:multiLevelType w:val="hybridMultilevel"/>
    <w:tmpl w:val="982C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778C1"/>
    <w:multiLevelType w:val="hybridMultilevel"/>
    <w:tmpl w:val="C93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3B6"/>
    <w:multiLevelType w:val="hybridMultilevel"/>
    <w:tmpl w:val="899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5220B"/>
    <w:multiLevelType w:val="hybridMultilevel"/>
    <w:tmpl w:val="665A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51EE4"/>
    <w:multiLevelType w:val="hybridMultilevel"/>
    <w:tmpl w:val="908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B2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AA162F"/>
    <w:multiLevelType w:val="hybridMultilevel"/>
    <w:tmpl w:val="71BE078A"/>
    <w:lvl w:ilvl="0" w:tplc="986854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01D2B"/>
    <w:multiLevelType w:val="multilevel"/>
    <w:tmpl w:val="381262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6">
    <w:nsid w:val="6F956C21"/>
    <w:multiLevelType w:val="multilevel"/>
    <w:tmpl w:val="38243D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7">
    <w:nsid w:val="72BE4116"/>
    <w:multiLevelType w:val="hybridMultilevel"/>
    <w:tmpl w:val="6F5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D2DE7"/>
    <w:multiLevelType w:val="hybridMultilevel"/>
    <w:tmpl w:val="982C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25F09"/>
    <w:multiLevelType w:val="hybridMultilevel"/>
    <w:tmpl w:val="982C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14"/>
  </w:num>
  <w:num w:numId="5">
    <w:abstractNumId w:val="20"/>
  </w:num>
  <w:num w:numId="6">
    <w:abstractNumId w:val="27"/>
  </w:num>
  <w:num w:numId="7">
    <w:abstractNumId w:val="22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26"/>
  </w:num>
  <w:num w:numId="24">
    <w:abstractNumId w:val="26"/>
  </w:num>
  <w:num w:numId="25">
    <w:abstractNumId w:val="23"/>
  </w:num>
  <w:num w:numId="26">
    <w:abstractNumId w:val="25"/>
  </w:num>
  <w:num w:numId="27">
    <w:abstractNumId w:val="24"/>
  </w:num>
  <w:num w:numId="28">
    <w:abstractNumId w:val="18"/>
  </w:num>
  <w:num w:numId="29">
    <w:abstractNumId w:val="29"/>
  </w:num>
  <w:num w:numId="30">
    <w:abstractNumId w:val="28"/>
  </w:num>
  <w:num w:numId="31">
    <w:abstractNumId w:val="15"/>
  </w:num>
  <w:num w:numId="32">
    <w:abstractNumId w:val="19"/>
  </w:num>
  <w:num w:numId="33">
    <w:abstractNumId w:val="21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17655"/>
    <w:rsid w:val="0000007B"/>
    <w:rsid w:val="000010D2"/>
    <w:rsid w:val="00004A85"/>
    <w:rsid w:val="00004C54"/>
    <w:rsid w:val="000063EA"/>
    <w:rsid w:val="000114BA"/>
    <w:rsid w:val="00011A49"/>
    <w:rsid w:val="00012DAD"/>
    <w:rsid w:val="00013A9C"/>
    <w:rsid w:val="00016D87"/>
    <w:rsid w:val="00017044"/>
    <w:rsid w:val="000213C9"/>
    <w:rsid w:val="00021826"/>
    <w:rsid w:val="00026AC1"/>
    <w:rsid w:val="000324C6"/>
    <w:rsid w:val="00033888"/>
    <w:rsid w:val="00034DCF"/>
    <w:rsid w:val="0003513A"/>
    <w:rsid w:val="00035816"/>
    <w:rsid w:val="00036499"/>
    <w:rsid w:val="00037FE2"/>
    <w:rsid w:val="00041EFF"/>
    <w:rsid w:val="00044DC4"/>
    <w:rsid w:val="00045B3B"/>
    <w:rsid w:val="0004732C"/>
    <w:rsid w:val="0004781C"/>
    <w:rsid w:val="000516ED"/>
    <w:rsid w:val="0005189C"/>
    <w:rsid w:val="000524E6"/>
    <w:rsid w:val="000528D5"/>
    <w:rsid w:val="00054BBC"/>
    <w:rsid w:val="00054C64"/>
    <w:rsid w:val="0005557C"/>
    <w:rsid w:val="00057E88"/>
    <w:rsid w:val="00060B64"/>
    <w:rsid w:val="00061143"/>
    <w:rsid w:val="00064609"/>
    <w:rsid w:val="00064CBD"/>
    <w:rsid w:val="00066A28"/>
    <w:rsid w:val="000676B2"/>
    <w:rsid w:val="0007201B"/>
    <w:rsid w:val="00072900"/>
    <w:rsid w:val="00074241"/>
    <w:rsid w:val="00075A30"/>
    <w:rsid w:val="00076295"/>
    <w:rsid w:val="000808FB"/>
    <w:rsid w:val="000821CD"/>
    <w:rsid w:val="000826FD"/>
    <w:rsid w:val="00086E0B"/>
    <w:rsid w:val="0009045B"/>
    <w:rsid w:val="00093930"/>
    <w:rsid w:val="0009524F"/>
    <w:rsid w:val="00095532"/>
    <w:rsid w:val="00096F34"/>
    <w:rsid w:val="0009719C"/>
    <w:rsid w:val="000A1FFD"/>
    <w:rsid w:val="000B1B47"/>
    <w:rsid w:val="000B2474"/>
    <w:rsid w:val="000B3AF0"/>
    <w:rsid w:val="000B427F"/>
    <w:rsid w:val="000C03AD"/>
    <w:rsid w:val="000C22E2"/>
    <w:rsid w:val="000C2547"/>
    <w:rsid w:val="000C2C2F"/>
    <w:rsid w:val="000C3DE5"/>
    <w:rsid w:val="000C4B08"/>
    <w:rsid w:val="000C617D"/>
    <w:rsid w:val="000D2572"/>
    <w:rsid w:val="000D3077"/>
    <w:rsid w:val="000D7443"/>
    <w:rsid w:val="000E0814"/>
    <w:rsid w:val="000E23F0"/>
    <w:rsid w:val="000E4C53"/>
    <w:rsid w:val="000E79FA"/>
    <w:rsid w:val="000F057C"/>
    <w:rsid w:val="000F0B4C"/>
    <w:rsid w:val="000F741B"/>
    <w:rsid w:val="00101CB0"/>
    <w:rsid w:val="00102875"/>
    <w:rsid w:val="00106D70"/>
    <w:rsid w:val="00106F58"/>
    <w:rsid w:val="00107122"/>
    <w:rsid w:val="001119E5"/>
    <w:rsid w:val="00111C98"/>
    <w:rsid w:val="00112C07"/>
    <w:rsid w:val="00113692"/>
    <w:rsid w:val="00113A43"/>
    <w:rsid w:val="00117347"/>
    <w:rsid w:val="001212B5"/>
    <w:rsid w:val="0012280B"/>
    <w:rsid w:val="001235EA"/>
    <w:rsid w:val="001337A0"/>
    <w:rsid w:val="00133F0A"/>
    <w:rsid w:val="00137664"/>
    <w:rsid w:val="00137E2A"/>
    <w:rsid w:val="00154135"/>
    <w:rsid w:val="00162ABE"/>
    <w:rsid w:val="001668FF"/>
    <w:rsid w:val="00172BB3"/>
    <w:rsid w:val="00175000"/>
    <w:rsid w:val="00175045"/>
    <w:rsid w:val="001801D9"/>
    <w:rsid w:val="00184162"/>
    <w:rsid w:val="00185E1F"/>
    <w:rsid w:val="00192004"/>
    <w:rsid w:val="00193478"/>
    <w:rsid w:val="00193FB9"/>
    <w:rsid w:val="00195E67"/>
    <w:rsid w:val="001A0912"/>
    <w:rsid w:val="001A179D"/>
    <w:rsid w:val="001A2660"/>
    <w:rsid w:val="001A3997"/>
    <w:rsid w:val="001A47F0"/>
    <w:rsid w:val="001A7638"/>
    <w:rsid w:val="001B0370"/>
    <w:rsid w:val="001B1D7A"/>
    <w:rsid w:val="001B34D7"/>
    <w:rsid w:val="001B5009"/>
    <w:rsid w:val="001B5863"/>
    <w:rsid w:val="001C0074"/>
    <w:rsid w:val="001C2BEB"/>
    <w:rsid w:val="001C2C62"/>
    <w:rsid w:val="001C2E97"/>
    <w:rsid w:val="001C2F91"/>
    <w:rsid w:val="001C458E"/>
    <w:rsid w:val="001C47E0"/>
    <w:rsid w:val="001C4C4D"/>
    <w:rsid w:val="001C5F8B"/>
    <w:rsid w:val="001C7639"/>
    <w:rsid w:val="001D0AA6"/>
    <w:rsid w:val="001D419F"/>
    <w:rsid w:val="001D57EC"/>
    <w:rsid w:val="001D7388"/>
    <w:rsid w:val="001E01F4"/>
    <w:rsid w:val="001E175F"/>
    <w:rsid w:val="001E2B55"/>
    <w:rsid w:val="001E307A"/>
    <w:rsid w:val="001E49B5"/>
    <w:rsid w:val="001E5505"/>
    <w:rsid w:val="001E68C2"/>
    <w:rsid w:val="001E7A86"/>
    <w:rsid w:val="001F3897"/>
    <w:rsid w:val="001F5467"/>
    <w:rsid w:val="002005D6"/>
    <w:rsid w:val="00200FFD"/>
    <w:rsid w:val="0020175C"/>
    <w:rsid w:val="00203FCD"/>
    <w:rsid w:val="00205E7F"/>
    <w:rsid w:val="00206795"/>
    <w:rsid w:val="00215D93"/>
    <w:rsid w:val="00216FD3"/>
    <w:rsid w:val="00220012"/>
    <w:rsid w:val="00221EA1"/>
    <w:rsid w:val="00225D9A"/>
    <w:rsid w:val="002308C0"/>
    <w:rsid w:val="0023246A"/>
    <w:rsid w:val="002339BF"/>
    <w:rsid w:val="0024042C"/>
    <w:rsid w:val="00241B4C"/>
    <w:rsid w:val="00242167"/>
    <w:rsid w:val="00245894"/>
    <w:rsid w:val="002458D0"/>
    <w:rsid w:val="0024790E"/>
    <w:rsid w:val="00247D53"/>
    <w:rsid w:val="00250D75"/>
    <w:rsid w:val="00252019"/>
    <w:rsid w:val="00253113"/>
    <w:rsid w:val="002553C9"/>
    <w:rsid w:val="002558EF"/>
    <w:rsid w:val="00260FD2"/>
    <w:rsid w:val="00261C7A"/>
    <w:rsid w:val="00261F68"/>
    <w:rsid w:val="00263672"/>
    <w:rsid w:val="00267026"/>
    <w:rsid w:val="00270314"/>
    <w:rsid w:val="00272F8A"/>
    <w:rsid w:val="00276ECF"/>
    <w:rsid w:val="00283B83"/>
    <w:rsid w:val="00284EC5"/>
    <w:rsid w:val="002854A8"/>
    <w:rsid w:val="0029097A"/>
    <w:rsid w:val="00292173"/>
    <w:rsid w:val="002928BC"/>
    <w:rsid w:val="0029626C"/>
    <w:rsid w:val="002979BC"/>
    <w:rsid w:val="002A2D86"/>
    <w:rsid w:val="002A436D"/>
    <w:rsid w:val="002B4CA3"/>
    <w:rsid w:val="002B5160"/>
    <w:rsid w:val="002C3DC7"/>
    <w:rsid w:val="002C49BD"/>
    <w:rsid w:val="002C5E06"/>
    <w:rsid w:val="002D03C3"/>
    <w:rsid w:val="002D09CE"/>
    <w:rsid w:val="002D2C59"/>
    <w:rsid w:val="002D5612"/>
    <w:rsid w:val="002D7589"/>
    <w:rsid w:val="002D78FA"/>
    <w:rsid w:val="002E2B55"/>
    <w:rsid w:val="002E39A2"/>
    <w:rsid w:val="002E56B5"/>
    <w:rsid w:val="002E618F"/>
    <w:rsid w:val="002E73C0"/>
    <w:rsid w:val="002F5ABB"/>
    <w:rsid w:val="003013C3"/>
    <w:rsid w:val="003030FF"/>
    <w:rsid w:val="00313FBA"/>
    <w:rsid w:val="00324678"/>
    <w:rsid w:val="003253C5"/>
    <w:rsid w:val="003310BB"/>
    <w:rsid w:val="00334694"/>
    <w:rsid w:val="0033572E"/>
    <w:rsid w:val="00341980"/>
    <w:rsid w:val="00343BA1"/>
    <w:rsid w:val="00345772"/>
    <w:rsid w:val="003468C7"/>
    <w:rsid w:val="003502E0"/>
    <w:rsid w:val="00353595"/>
    <w:rsid w:val="0035588F"/>
    <w:rsid w:val="003569DE"/>
    <w:rsid w:val="003608F5"/>
    <w:rsid w:val="003625CB"/>
    <w:rsid w:val="00367DE4"/>
    <w:rsid w:val="00373B30"/>
    <w:rsid w:val="00374E6E"/>
    <w:rsid w:val="003756D8"/>
    <w:rsid w:val="0038000B"/>
    <w:rsid w:val="00380045"/>
    <w:rsid w:val="003810E7"/>
    <w:rsid w:val="00382FBD"/>
    <w:rsid w:val="00383E8B"/>
    <w:rsid w:val="00384A86"/>
    <w:rsid w:val="0038573A"/>
    <w:rsid w:val="00385AA1"/>
    <w:rsid w:val="0038727C"/>
    <w:rsid w:val="00387A89"/>
    <w:rsid w:val="00392717"/>
    <w:rsid w:val="00394EB0"/>
    <w:rsid w:val="003A164B"/>
    <w:rsid w:val="003A3C4D"/>
    <w:rsid w:val="003A4079"/>
    <w:rsid w:val="003A5E00"/>
    <w:rsid w:val="003A7D28"/>
    <w:rsid w:val="003B085D"/>
    <w:rsid w:val="003B76A3"/>
    <w:rsid w:val="003C0D16"/>
    <w:rsid w:val="003C5355"/>
    <w:rsid w:val="003D52A6"/>
    <w:rsid w:val="003D5BF0"/>
    <w:rsid w:val="003E068E"/>
    <w:rsid w:val="003E06B5"/>
    <w:rsid w:val="003F16FB"/>
    <w:rsid w:val="003F41B0"/>
    <w:rsid w:val="003F64DD"/>
    <w:rsid w:val="0040293E"/>
    <w:rsid w:val="004048B9"/>
    <w:rsid w:val="00405360"/>
    <w:rsid w:val="004109B9"/>
    <w:rsid w:val="00411F38"/>
    <w:rsid w:val="00412025"/>
    <w:rsid w:val="00412423"/>
    <w:rsid w:val="00413F8C"/>
    <w:rsid w:val="00414D7B"/>
    <w:rsid w:val="0041669C"/>
    <w:rsid w:val="00417072"/>
    <w:rsid w:val="00417239"/>
    <w:rsid w:val="0042110A"/>
    <w:rsid w:val="00427570"/>
    <w:rsid w:val="00435DE3"/>
    <w:rsid w:val="00437369"/>
    <w:rsid w:val="004373B9"/>
    <w:rsid w:val="0044542B"/>
    <w:rsid w:val="004525D9"/>
    <w:rsid w:val="0045416F"/>
    <w:rsid w:val="00454BC3"/>
    <w:rsid w:val="00454C47"/>
    <w:rsid w:val="00456458"/>
    <w:rsid w:val="00457385"/>
    <w:rsid w:val="00457E65"/>
    <w:rsid w:val="00464B6B"/>
    <w:rsid w:val="004663CE"/>
    <w:rsid w:val="0046733F"/>
    <w:rsid w:val="00473354"/>
    <w:rsid w:val="004749D8"/>
    <w:rsid w:val="0047604F"/>
    <w:rsid w:val="00477140"/>
    <w:rsid w:val="00477B4C"/>
    <w:rsid w:val="004856B9"/>
    <w:rsid w:val="00490D78"/>
    <w:rsid w:val="0049142D"/>
    <w:rsid w:val="004A16C4"/>
    <w:rsid w:val="004A1F01"/>
    <w:rsid w:val="004A26FC"/>
    <w:rsid w:val="004A3C60"/>
    <w:rsid w:val="004A4DDF"/>
    <w:rsid w:val="004B1C04"/>
    <w:rsid w:val="004B1DB2"/>
    <w:rsid w:val="004B3293"/>
    <w:rsid w:val="004B4A6A"/>
    <w:rsid w:val="004B4EE7"/>
    <w:rsid w:val="004C07D9"/>
    <w:rsid w:val="004C08A3"/>
    <w:rsid w:val="004C10F9"/>
    <w:rsid w:val="004D39BC"/>
    <w:rsid w:val="004D50E7"/>
    <w:rsid w:val="004E12E7"/>
    <w:rsid w:val="004E1661"/>
    <w:rsid w:val="004E1CD7"/>
    <w:rsid w:val="004E2D89"/>
    <w:rsid w:val="004E4ECB"/>
    <w:rsid w:val="004E5C5B"/>
    <w:rsid w:val="004E6F7B"/>
    <w:rsid w:val="004E778A"/>
    <w:rsid w:val="004F0703"/>
    <w:rsid w:val="004F0C43"/>
    <w:rsid w:val="004F2451"/>
    <w:rsid w:val="004F402D"/>
    <w:rsid w:val="004F6311"/>
    <w:rsid w:val="004F6AED"/>
    <w:rsid w:val="004F707D"/>
    <w:rsid w:val="004F7D81"/>
    <w:rsid w:val="005033A7"/>
    <w:rsid w:val="0050357A"/>
    <w:rsid w:val="005039A6"/>
    <w:rsid w:val="00506023"/>
    <w:rsid w:val="0050651B"/>
    <w:rsid w:val="00507749"/>
    <w:rsid w:val="00510457"/>
    <w:rsid w:val="005109CD"/>
    <w:rsid w:val="00511CA7"/>
    <w:rsid w:val="00512B53"/>
    <w:rsid w:val="0051465C"/>
    <w:rsid w:val="005175C8"/>
    <w:rsid w:val="00521B16"/>
    <w:rsid w:val="00523DA3"/>
    <w:rsid w:val="0052444E"/>
    <w:rsid w:val="00526613"/>
    <w:rsid w:val="00531728"/>
    <w:rsid w:val="00535C54"/>
    <w:rsid w:val="0054101D"/>
    <w:rsid w:val="0054726E"/>
    <w:rsid w:val="005512F0"/>
    <w:rsid w:val="00553068"/>
    <w:rsid w:val="0056506F"/>
    <w:rsid w:val="00565A0F"/>
    <w:rsid w:val="00565A7F"/>
    <w:rsid w:val="00566460"/>
    <w:rsid w:val="0056782C"/>
    <w:rsid w:val="00570090"/>
    <w:rsid w:val="00570FDB"/>
    <w:rsid w:val="00572397"/>
    <w:rsid w:val="00572947"/>
    <w:rsid w:val="0057474F"/>
    <w:rsid w:val="0057689A"/>
    <w:rsid w:val="005775DC"/>
    <w:rsid w:val="005813E5"/>
    <w:rsid w:val="00582252"/>
    <w:rsid w:val="00585D2D"/>
    <w:rsid w:val="00586607"/>
    <w:rsid w:val="00586708"/>
    <w:rsid w:val="00586856"/>
    <w:rsid w:val="00590361"/>
    <w:rsid w:val="00590CB2"/>
    <w:rsid w:val="0059432F"/>
    <w:rsid w:val="0059527A"/>
    <w:rsid w:val="005978D2"/>
    <w:rsid w:val="005A1488"/>
    <w:rsid w:val="005A23D5"/>
    <w:rsid w:val="005A266B"/>
    <w:rsid w:val="005A7DC8"/>
    <w:rsid w:val="005B1154"/>
    <w:rsid w:val="005B1239"/>
    <w:rsid w:val="005B1A50"/>
    <w:rsid w:val="005B6233"/>
    <w:rsid w:val="005B6C51"/>
    <w:rsid w:val="005B7316"/>
    <w:rsid w:val="005C14D1"/>
    <w:rsid w:val="005C1E32"/>
    <w:rsid w:val="005C2A0C"/>
    <w:rsid w:val="005C3653"/>
    <w:rsid w:val="005C61F7"/>
    <w:rsid w:val="005C636B"/>
    <w:rsid w:val="005C7193"/>
    <w:rsid w:val="005D0CB9"/>
    <w:rsid w:val="005D0ECF"/>
    <w:rsid w:val="005D1FE7"/>
    <w:rsid w:val="005D5B82"/>
    <w:rsid w:val="005E092C"/>
    <w:rsid w:val="005E2AAB"/>
    <w:rsid w:val="005E471C"/>
    <w:rsid w:val="005E56F5"/>
    <w:rsid w:val="005F0614"/>
    <w:rsid w:val="005F1A93"/>
    <w:rsid w:val="005F2E8C"/>
    <w:rsid w:val="005F4A00"/>
    <w:rsid w:val="005F4BB7"/>
    <w:rsid w:val="00606539"/>
    <w:rsid w:val="00606E8A"/>
    <w:rsid w:val="00614AB0"/>
    <w:rsid w:val="0062192B"/>
    <w:rsid w:val="00623529"/>
    <w:rsid w:val="00623E2A"/>
    <w:rsid w:val="0062754D"/>
    <w:rsid w:val="0063309D"/>
    <w:rsid w:val="00634BF6"/>
    <w:rsid w:val="00635D84"/>
    <w:rsid w:val="00636FD6"/>
    <w:rsid w:val="006434AF"/>
    <w:rsid w:val="00645A64"/>
    <w:rsid w:val="00650FC2"/>
    <w:rsid w:val="00652FFD"/>
    <w:rsid w:val="00665A11"/>
    <w:rsid w:val="0066680A"/>
    <w:rsid w:val="0067279A"/>
    <w:rsid w:val="0068481A"/>
    <w:rsid w:val="006872A5"/>
    <w:rsid w:val="0069277D"/>
    <w:rsid w:val="00695C78"/>
    <w:rsid w:val="00696584"/>
    <w:rsid w:val="006965D1"/>
    <w:rsid w:val="006976D9"/>
    <w:rsid w:val="006A0324"/>
    <w:rsid w:val="006A0AFE"/>
    <w:rsid w:val="006A19B0"/>
    <w:rsid w:val="006A527A"/>
    <w:rsid w:val="006A7072"/>
    <w:rsid w:val="006B582F"/>
    <w:rsid w:val="006B7810"/>
    <w:rsid w:val="006B7F2B"/>
    <w:rsid w:val="006C29C8"/>
    <w:rsid w:val="006C3625"/>
    <w:rsid w:val="006C4020"/>
    <w:rsid w:val="006C4891"/>
    <w:rsid w:val="006C5004"/>
    <w:rsid w:val="006C6806"/>
    <w:rsid w:val="006C731F"/>
    <w:rsid w:val="006D0A66"/>
    <w:rsid w:val="006D15A0"/>
    <w:rsid w:val="006D270E"/>
    <w:rsid w:val="006D4D51"/>
    <w:rsid w:val="006D79C7"/>
    <w:rsid w:val="006D7C0F"/>
    <w:rsid w:val="006E1A04"/>
    <w:rsid w:val="006E307F"/>
    <w:rsid w:val="006E65ED"/>
    <w:rsid w:val="006E6E1F"/>
    <w:rsid w:val="006F05F5"/>
    <w:rsid w:val="006F07C2"/>
    <w:rsid w:val="006F281D"/>
    <w:rsid w:val="006F3099"/>
    <w:rsid w:val="006F6531"/>
    <w:rsid w:val="00700C59"/>
    <w:rsid w:val="007018AA"/>
    <w:rsid w:val="00710808"/>
    <w:rsid w:val="007122EE"/>
    <w:rsid w:val="00713515"/>
    <w:rsid w:val="007140F4"/>
    <w:rsid w:val="0071477E"/>
    <w:rsid w:val="0071547F"/>
    <w:rsid w:val="00716191"/>
    <w:rsid w:val="007171E1"/>
    <w:rsid w:val="00717F26"/>
    <w:rsid w:val="00722B83"/>
    <w:rsid w:val="007238FE"/>
    <w:rsid w:val="007264C4"/>
    <w:rsid w:val="00727E38"/>
    <w:rsid w:val="00731065"/>
    <w:rsid w:val="0073154F"/>
    <w:rsid w:val="00735576"/>
    <w:rsid w:val="00735731"/>
    <w:rsid w:val="00736D27"/>
    <w:rsid w:val="00737CB8"/>
    <w:rsid w:val="00740CD8"/>
    <w:rsid w:val="00744EB5"/>
    <w:rsid w:val="00744EC2"/>
    <w:rsid w:val="007452C1"/>
    <w:rsid w:val="0075013C"/>
    <w:rsid w:val="00753BC4"/>
    <w:rsid w:val="007611D1"/>
    <w:rsid w:val="00763283"/>
    <w:rsid w:val="007654C1"/>
    <w:rsid w:val="00772C43"/>
    <w:rsid w:val="00780BE7"/>
    <w:rsid w:val="0078200C"/>
    <w:rsid w:val="0078520A"/>
    <w:rsid w:val="0078766D"/>
    <w:rsid w:val="00787A89"/>
    <w:rsid w:val="007905D2"/>
    <w:rsid w:val="0079079D"/>
    <w:rsid w:val="007947BB"/>
    <w:rsid w:val="007948B0"/>
    <w:rsid w:val="00795E8E"/>
    <w:rsid w:val="00796A0B"/>
    <w:rsid w:val="00797879"/>
    <w:rsid w:val="007A0121"/>
    <w:rsid w:val="007A0EEE"/>
    <w:rsid w:val="007A117F"/>
    <w:rsid w:val="007A7BFE"/>
    <w:rsid w:val="007B143A"/>
    <w:rsid w:val="007B1BF3"/>
    <w:rsid w:val="007B3058"/>
    <w:rsid w:val="007B6366"/>
    <w:rsid w:val="007B6C13"/>
    <w:rsid w:val="007B70E8"/>
    <w:rsid w:val="007C0998"/>
    <w:rsid w:val="007C11CD"/>
    <w:rsid w:val="007C2FBC"/>
    <w:rsid w:val="007C5D4C"/>
    <w:rsid w:val="007C6EEB"/>
    <w:rsid w:val="007D1F5D"/>
    <w:rsid w:val="007D20B9"/>
    <w:rsid w:val="007D46C6"/>
    <w:rsid w:val="007D783A"/>
    <w:rsid w:val="007E0A29"/>
    <w:rsid w:val="007E0E6E"/>
    <w:rsid w:val="007E111D"/>
    <w:rsid w:val="007E204D"/>
    <w:rsid w:val="007E6C4F"/>
    <w:rsid w:val="007F00A4"/>
    <w:rsid w:val="007F4E83"/>
    <w:rsid w:val="00805360"/>
    <w:rsid w:val="00805E9F"/>
    <w:rsid w:val="0081333C"/>
    <w:rsid w:val="00813E45"/>
    <w:rsid w:val="00817655"/>
    <w:rsid w:val="00820E37"/>
    <w:rsid w:val="0082428C"/>
    <w:rsid w:val="008243FF"/>
    <w:rsid w:val="00827205"/>
    <w:rsid w:val="00827EFC"/>
    <w:rsid w:val="00832B33"/>
    <w:rsid w:val="0083438C"/>
    <w:rsid w:val="00835362"/>
    <w:rsid w:val="008355CC"/>
    <w:rsid w:val="00840B55"/>
    <w:rsid w:val="00842E3C"/>
    <w:rsid w:val="0084579C"/>
    <w:rsid w:val="00851092"/>
    <w:rsid w:val="008519A4"/>
    <w:rsid w:val="008541FF"/>
    <w:rsid w:val="00856959"/>
    <w:rsid w:val="00862BA4"/>
    <w:rsid w:val="00866422"/>
    <w:rsid w:val="008674D0"/>
    <w:rsid w:val="00867657"/>
    <w:rsid w:val="008703B7"/>
    <w:rsid w:val="00870979"/>
    <w:rsid w:val="00873EF9"/>
    <w:rsid w:val="00874808"/>
    <w:rsid w:val="00875806"/>
    <w:rsid w:val="00877054"/>
    <w:rsid w:val="008846DD"/>
    <w:rsid w:val="00891DCE"/>
    <w:rsid w:val="008922B5"/>
    <w:rsid w:val="008939B3"/>
    <w:rsid w:val="008948C4"/>
    <w:rsid w:val="008A1306"/>
    <w:rsid w:val="008A26AB"/>
    <w:rsid w:val="008A28C1"/>
    <w:rsid w:val="008A2CFA"/>
    <w:rsid w:val="008A3594"/>
    <w:rsid w:val="008A35AB"/>
    <w:rsid w:val="008A5605"/>
    <w:rsid w:val="008A59CB"/>
    <w:rsid w:val="008B051A"/>
    <w:rsid w:val="008B5C84"/>
    <w:rsid w:val="008C2F4B"/>
    <w:rsid w:val="008C5275"/>
    <w:rsid w:val="008C70AB"/>
    <w:rsid w:val="008C76AA"/>
    <w:rsid w:val="008D1831"/>
    <w:rsid w:val="008E0C52"/>
    <w:rsid w:val="008F7DE4"/>
    <w:rsid w:val="009001C7"/>
    <w:rsid w:val="00906966"/>
    <w:rsid w:val="009077D6"/>
    <w:rsid w:val="00911A3A"/>
    <w:rsid w:val="00911C63"/>
    <w:rsid w:val="00915ACB"/>
    <w:rsid w:val="00921993"/>
    <w:rsid w:val="0092449A"/>
    <w:rsid w:val="0092604C"/>
    <w:rsid w:val="009263DC"/>
    <w:rsid w:val="00926F4A"/>
    <w:rsid w:val="0093114D"/>
    <w:rsid w:val="0093121D"/>
    <w:rsid w:val="0093265A"/>
    <w:rsid w:val="0093276B"/>
    <w:rsid w:val="009335C8"/>
    <w:rsid w:val="00933EC8"/>
    <w:rsid w:val="00941516"/>
    <w:rsid w:val="00942321"/>
    <w:rsid w:val="00942B87"/>
    <w:rsid w:val="00942D99"/>
    <w:rsid w:val="009460A9"/>
    <w:rsid w:val="00946C7D"/>
    <w:rsid w:val="0094751B"/>
    <w:rsid w:val="0095108C"/>
    <w:rsid w:val="00951427"/>
    <w:rsid w:val="009563D0"/>
    <w:rsid w:val="00957F1E"/>
    <w:rsid w:val="00960717"/>
    <w:rsid w:val="00964C20"/>
    <w:rsid w:val="00965DDB"/>
    <w:rsid w:val="00966910"/>
    <w:rsid w:val="009679F1"/>
    <w:rsid w:val="00970906"/>
    <w:rsid w:val="00971DCC"/>
    <w:rsid w:val="00973242"/>
    <w:rsid w:val="009733E5"/>
    <w:rsid w:val="00973A7D"/>
    <w:rsid w:val="009760F7"/>
    <w:rsid w:val="00976D65"/>
    <w:rsid w:val="00976E4E"/>
    <w:rsid w:val="00976F8D"/>
    <w:rsid w:val="00977195"/>
    <w:rsid w:val="00977EA2"/>
    <w:rsid w:val="00987F33"/>
    <w:rsid w:val="00990949"/>
    <w:rsid w:val="00992BD9"/>
    <w:rsid w:val="00992D36"/>
    <w:rsid w:val="0099328E"/>
    <w:rsid w:val="00994FF1"/>
    <w:rsid w:val="009953EE"/>
    <w:rsid w:val="009A1824"/>
    <w:rsid w:val="009A3AF1"/>
    <w:rsid w:val="009A4802"/>
    <w:rsid w:val="009B2ECF"/>
    <w:rsid w:val="009B46C9"/>
    <w:rsid w:val="009C1568"/>
    <w:rsid w:val="009C15F1"/>
    <w:rsid w:val="009C22E3"/>
    <w:rsid w:val="009C6E0E"/>
    <w:rsid w:val="009D100F"/>
    <w:rsid w:val="009D16D5"/>
    <w:rsid w:val="009D4E37"/>
    <w:rsid w:val="009D5D2E"/>
    <w:rsid w:val="009D6BE2"/>
    <w:rsid w:val="009E319A"/>
    <w:rsid w:val="009E569C"/>
    <w:rsid w:val="009E5EF6"/>
    <w:rsid w:val="009E7EEE"/>
    <w:rsid w:val="009F435D"/>
    <w:rsid w:val="009F661C"/>
    <w:rsid w:val="009F6731"/>
    <w:rsid w:val="00A01127"/>
    <w:rsid w:val="00A03A6E"/>
    <w:rsid w:val="00A1094E"/>
    <w:rsid w:val="00A14A40"/>
    <w:rsid w:val="00A1738F"/>
    <w:rsid w:val="00A2099A"/>
    <w:rsid w:val="00A20F6B"/>
    <w:rsid w:val="00A212CB"/>
    <w:rsid w:val="00A235D7"/>
    <w:rsid w:val="00A30E4E"/>
    <w:rsid w:val="00A3156D"/>
    <w:rsid w:val="00A32DE7"/>
    <w:rsid w:val="00A34790"/>
    <w:rsid w:val="00A35313"/>
    <w:rsid w:val="00A35667"/>
    <w:rsid w:val="00A37F55"/>
    <w:rsid w:val="00A37FC2"/>
    <w:rsid w:val="00A409E2"/>
    <w:rsid w:val="00A4198B"/>
    <w:rsid w:val="00A42D75"/>
    <w:rsid w:val="00A44AA2"/>
    <w:rsid w:val="00A45464"/>
    <w:rsid w:val="00A46283"/>
    <w:rsid w:val="00A47A74"/>
    <w:rsid w:val="00A50DAD"/>
    <w:rsid w:val="00A51617"/>
    <w:rsid w:val="00A52F46"/>
    <w:rsid w:val="00A5380F"/>
    <w:rsid w:val="00A610B5"/>
    <w:rsid w:val="00A619C8"/>
    <w:rsid w:val="00A62B44"/>
    <w:rsid w:val="00A64405"/>
    <w:rsid w:val="00A66947"/>
    <w:rsid w:val="00A66EA7"/>
    <w:rsid w:val="00A70F31"/>
    <w:rsid w:val="00A711D2"/>
    <w:rsid w:val="00A73E3B"/>
    <w:rsid w:val="00A7632E"/>
    <w:rsid w:val="00A80BAD"/>
    <w:rsid w:val="00A84285"/>
    <w:rsid w:val="00A843C0"/>
    <w:rsid w:val="00A84E4F"/>
    <w:rsid w:val="00A87CA1"/>
    <w:rsid w:val="00A90FF9"/>
    <w:rsid w:val="00A921D0"/>
    <w:rsid w:val="00A93467"/>
    <w:rsid w:val="00A97492"/>
    <w:rsid w:val="00AA28F6"/>
    <w:rsid w:val="00AA2A50"/>
    <w:rsid w:val="00AA3D25"/>
    <w:rsid w:val="00AA3EB0"/>
    <w:rsid w:val="00AA5761"/>
    <w:rsid w:val="00AB017A"/>
    <w:rsid w:val="00AB0817"/>
    <w:rsid w:val="00AB1DA0"/>
    <w:rsid w:val="00AB21CA"/>
    <w:rsid w:val="00AB4D13"/>
    <w:rsid w:val="00AB6693"/>
    <w:rsid w:val="00AC1C00"/>
    <w:rsid w:val="00AC2952"/>
    <w:rsid w:val="00AC3E1C"/>
    <w:rsid w:val="00AC4A69"/>
    <w:rsid w:val="00AD18E7"/>
    <w:rsid w:val="00AD1E3E"/>
    <w:rsid w:val="00AD5A4B"/>
    <w:rsid w:val="00AD5E81"/>
    <w:rsid w:val="00AE26BD"/>
    <w:rsid w:val="00AE60FB"/>
    <w:rsid w:val="00AE6F55"/>
    <w:rsid w:val="00AE7549"/>
    <w:rsid w:val="00AE7789"/>
    <w:rsid w:val="00AF121F"/>
    <w:rsid w:val="00AF457F"/>
    <w:rsid w:val="00B001C9"/>
    <w:rsid w:val="00B01A71"/>
    <w:rsid w:val="00B01E80"/>
    <w:rsid w:val="00B0493C"/>
    <w:rsid w:val="00B12FE5"/>
    <w:rsid w:val="00B163AD"/>
    <w:rsid w:val="00B163F5"/>
    <w:rsid w:val="00B16F60"/>
    <w:rsid w:val="00B203D0"/>
    <w:rsid w:val="00B2337C"/>
    <w:rsid w:val="00B2505A"/>
    <w:rsid w:val="00B316D9"/>
    <w:rsid w:val="00B32769"/>
    <w:rsid w:val="00B32F08"/>
    <w:rsid w:val="00B37138"/>
    <w:rsid w:val="00B41889"/>
    <w:rsid w:val="00B45BCA"/>
    <w:rsid w:val="00B46268"/>
    <w:rsid w:val="00B46779"/>
    <w:rsid w:val="00B473E0"/>
    <w:rsid w:val="00B50906"/>
    <w:rsid w:val="00B53A3A"/>
    <w:rsid w:val="00B5471F"/>
    <w:rsid w:val="00B61DC9"/>
    <w:rsid w:val="00B62373"/>
    <w:rsid w:val="00B6261D"/>
    <w:rsid w:val="00B6587A"/>
    <w:rsid w:val="00B66C1E"/>
    <w:rsid w:val="00B71712"/>
    <w:rsid w:val="00B8169B"/>
    <w:rsid w:val="00B8618F"/>
    <w:rsid w:val="00B86340"/>
    <w:rsid w:val="00B96E94"/>
    <w:rsid w:val="00BA5672"/>
    <w:rsid w:val="00BA60EA"/>
    <w:rsid w:val="00BA636B"/>
    <w:rsid w:val="00BB0AE1"/>
    <w:rsid w:val="00BB1CAA"/>
    <w:rsid w:val="00BB20A8"/>
    <w:rsid w:val="00BB779C"/>
    <w:rsid w:val="00BC0B01"/>
    <w:rsid w:val="00BC4092"/>
    <w:rsid w:val="00BC4746"/>
    <w:rsid w:val="00BD07E5"/>
    <w:rsid w:val="00BD0B3B"/>
    <w:rsid w:val="00BD192C"/>
    <w:rsid w:val="00BD2790"/>
    <w:rsid w:val="00BE0D4B"/>
    <w:rsid w:val="00BE0E99"/>
    <w:rsid w:val="00BE148C"/>
    <w:rsid w:val="00BF264E"/>
    <w:rsid w:val="00BF3518"/>
    <w:rsid w:val="00BF409E"/>
    <w:rsid w:val="00C004F2"/>
    <w:rsid w:val="00C03EDA"/>
    <w:rsid w:val="00C076CA"/>
    <w:rsid w:val="00C07D9F"/>
    <w:rsid w:val="00C1117C"/>
    <w:rsid w:val="00C14786"/>
    <w:rsid w:val="00C15932"/>
    <w:rsid w:val="00C16BEF"/>
    <w:rsid w:val="00C16DF6"/>
    <w:rsid w:val="00C1792F"/>
    <w:rsid w:val="00C20778"/>
    <w:rsid w:val="00C21701"/>
    <w:rsid w:val="00C24298"/>
    <w:rsid w:val="00C24FF5"/>
    <w:rsid w:val="00C27271"/>
    <w:rsid w:val="00C328CA"/>
    <w:rsid w:val="00C35D53"/>
    <w:rsid w:val="00C4374B"/>
    <w:rsid w:val="00C44A16"/>
    <w:rsid w:val="00C5309A"/>
    <w:rsid w:val="00C552AC"/>
    <w:rsid w:val="00C567F3"/>
    <w:rsid w:val="00C57788"/>
    <w:rsid w:val="00C57BD8"/>
    <w:rsid w:val="00C62681"/>
    <w:rsid w:val="00C64014"/>
    <w:rsid w:val="00C66C94"/>
    <w:rsid w:val="00C66F7A"/>
    <w:rsid w:val="00C679E4"/>
    <w:rsid w:val="00C70821"/>
    <w:rsid w:val="00C73014"/>
    <w:rsid w:val="00C75595"/>
    <w:rsid w:val="00C859E8"/>
    <w:rsid w:val="00C86714"/>
    <w:rsid w:val="00C8691B"/>
    <w:rsid w:val="00C873DF"/>
    <w:rsid w:val="00C904A1"/>
    <w:rsid w:val="00C914E5"/>
    <w:rsid w:val="00C927AC"/>
    <w:rsid w:val="00C92903"/>
    <w:rsid w:val="00C9550C"/>
    <w:rsid w:val="00C976BC"/>
    <w:rsid w:val="00CA53B8"/>
    <w:rsid w:val="00CA79AB"/>
    <w:rsid w:val="00CB1658"/>
    <w:rsid w:val="00CB46AF"/>
    <w:rsid w:val="00CC03C7"/>
    <w:rsid w:val="00CC1103"/>
    <w:rsid w:val="00CC1368"/>
    <w:rsid w:val="00CC208E"/>
    <w:rsid w:val="00CC5147"/>
    <w:rsid w:val="00CC79D8"/>
    <w:rsid w:val="00CD163F"/>
    <w:rsid w:val="00CD5EF8"/>
    <w:rsid w:val="00CD67E5"/>
    <w:rsid w:val="00CE063C"/>
    <w:rsid w:val="00CE0AC3"/>
    <w:rsid w:val="00CE4131"/>
    <w:rsid w:val="00CE61DB"/>
    <w:rsid w:val="00CF54F8"/>
    <w:rsid w:val="00CF5DEC"/>
    <w:rsid w:val="00D00F1D"/>
    <w:rsid w:val="00D020FA"/>
    <w:rsid w:val="00D07159"/>
    <w:rsid w:val="00D10649"/>
    <w:rsid w:val="00D14282"/>
    <w:rsid w:val="00D1438C"/>
    <w:rsid w:val="00D144DB"/>
    <w:rsid w:val="00D15294"/>
    <w:rsid w:val="00D16E9B"/>
    <w:rsid w:val="00D21EBB"/>
    <w:rsid w:val="00D24AE4"/>
    <w:rsid w:val="00D24FB7"/>
    <w:rsid w:val="00D24FBE"/>
    <w:rsid w:val="00D30DF8"/>
    <w:rsid w:val="00D31C14"/>
    <w:rsid w:val="00D35BB2"/>
    <w:rsid w:val="00D36EB7"/>
    <w:rsid w:val="00D40B6D"/>
    <w:rsid w:val="00D40DCD"/>
    <w:rsid w:val="00D41856"/>
    <w:rsid w:val="00D42FCD"/>
    <w:rsid w:val="00D5317A"/>
    <w:rsid w:val="00D5337C"/>
    <w:rsid w:val="00D566B1"/>
    <w:rsid w:val="00D56778"/>
    <w:rsid w:val="00D5778E"/>
    <w:rsid w:val="00D62E29"/>
    <w:rsid w:val="00D6371D"/>
    <w:rsid w:val="00D66D93"/>
    <w:rsid w:val="00D75C73"/>
    <w:rsid w:val="00D762AC"/>
    <w:rsid w:val="00D811F3"/>
    <w:rsid w:val="00D8283A"/>
    <w:rsid w:val="00D82E4C"/>
    <w:rsid w:val="00D83351"/>
    <w:rsid w:val="00D83CA0"/>
    <w:rsid w:val="00D85342"/>
    <w:rsid w:val="00D90A6C"/>
    <w:rsid w:val="00D92511"/>
    <w:rsid w:val="00D93BEC"/>
    <w:rsid w:val="00D941CB"/>
    <w:rsid w:val="00DA1549"/>
    <w:rsid w:val="00DB1024"/>
    <w:rsid w:val="00DB4933"/>
    <w:rsid w:val="00DB55C6"/>
    <w:rsid w:val="00DC0546"/>
    <w:rsid w:val="00DC0DF3"/>
    <w:rsid w:val="00DC1273"/>
    <w:rsid w:val="00DC1BFA"/>
    <w:rsid w:val="00DC24B5"/>
    <w:rsid w:val="00DC3CF0"/>
    <w:rsid w:val="00DC41AD"/>
    <w:rsid w:val="00DC56C7"/>
    <w:rsid w:val="00DC582C"/>
    <w:rsid w:val="00DD0B6C"/>
    <w:rsid w:val="00DD2F66"/>
    <w:rsid w:val="00DE2091"/>
    <w:rsid w:val="00DE313F"/>
    <w:rsid w:val="00DE4CE3"/>
    <w:rsid w:val="00DE5F32"/>
    <w:rsid w:val="00DE682F"/>
    <w:rsid w:val="00DF14ED"/>
    <w:rsid w:val="00DF20CB"/>
    <w:rsid w:val="00DF357D"/>
    <w:rsid w:val="00DF35CF"/>
    <w:rsid w:val="00DF461C"/>
    <w:rsid w:val="00DF65A3"/>
    <w:rsid w:val="00E03396"/>
    <w:rsid w:val="00E04F70"/>
    <w:rsid w:val="00E05AEF"/>
    <w:rsid w:val="00E0687F"/>
    <w:rsid w:val="00E11305"/>
    <w:rsid w:val="00E14D95"/>
    <w:rsid w:val="00E165B1"/>
    <w:rsid w:val="00E1772A"/>
    <w:rsid w:val="00E21337"/>
    <w:rsid w:val="00E24F23"/>
    <w:rsid w:val="00E3312C"/>
    <w:rsid w:val="00E44196"/>
    <w:rsid w:val="00E55064"/>
    <w:rsid w:val="00E5521C"/>
    <w:rsid w:val="00E5785B"/>
    <w:rsid w:val="00E57C83"/>
    <w:rsid w:val="00E6278D"/>
    <w:rsid w:val="00E638F9"/>
    <w:rsid w:val="00E64BF6"/>
    <w:rsid w:val="00E66721"/>
    <w:rsid w:val="00E7030D"/>
    <w:rsid w:val="00E71F1C"/>
    <w:rsid w:val="00E72883"/>
    <w:rsid w:val="00E73474"/>
    <w:rsid w:val="00E76604"/>
    <w:rsid w:val="00E7799B"/>
    <w:rsid w:val="00E80493"/>
    <w:rsid w:val="00E808C8"/>
    <w:rsid w:val="00E8175B"/>
    <w:rsid w:val="00E83306"/>
    <w:rsid w:val="00E867BB"/>
    <w:rsid w:val="00E86DFF"/>
    <w:rsid w:val="00E904F9"/>
    <w:rsid w:val="00E906D2"/>
    <w:rsid w:val="00E9093D"/>
    <w:rsid w:val="00E90F98"/>
    <w:rsid w:val="00E93163"/>
    <w:rsid w:val="00E931EE"/>
    <w:rsid w:val="00E93AFC"/>
    <w:rsid w:val="00E949B1"/>
    <w:rsid w:val="00E95A5F"/>
    <w:rsid w:val="00E96CAB"/>
    <w:rsid w:val="00E97A84"/>
    <w:rsid w:val="00E97BB2"/>
    <w:rsid w:val="00EA161A"/>
    <w:rsid w:val="00EA2D74"/>
    <w:rsid w:val="00EA3146"/>
    <w:rsid w:val="00EB263E"/>
    <w:rsid w:val="00EB4553"/>
    <w:rsid w:val="00EC0CEA"/>
    <w:rsid w:val="00EC3B9E"/>
    <w:rsid w:val="00EC4543"/>
    <w:rsid w:val="00EC45F7"/>
    <w:rsid w:val="00EC6160"/>
    <w:rsid w:val="00ED5B9A"/>
    <w:rsid w:val="00ED6742"/>
    <w:rsid w:val="00EE38EB"/>
    <w:rsid w:val="00EE39EC"/>
    <w:rsid w:val="00EF12A7"/>
    <w:rsid w:val="00EF2A5F"/>
    <w:rsid w:val="00EF3BEC"/>
    <w:rsid w:val="00F00109"/>
    <w:rsid w:val="00F00D02"/>
    <w:rsid w:val="00F0145F"/>
    <w:rsid w:val="00F01F77"/>
    <w:rsid w:val="00F02F4F"/>
    <w:rsid w:val="00F03548"/>
    <w:rsid w:val="00F11386"/>
    <w:rsid w:val="00F14ECD"/>
    <w:rsid w:val="00F202A1"/>
    <w:rsid w:val="00F21F3A"/>
    <w:rsid w:val="00F22040"/>
    <w:rsid w:val="00F230D2"/>
    <w:rsid w:val="00F25F81"/>
    <w:rsid w:val="00F26473"/>
    <w:rsid w:val="00F309E3"/>
    <w:rsid w:val="00F319A2"/>
    <w:rsid w:val="00F332A7"/>
    <w:rsid w:val="00F3637E"/>
    <w:rsid w:val="00F43C05"/>
    <w:rsid w:val="00F4614C"/>
    <w:rsid w:val="00F4744B"/>
    <w:rsid w:val="00F47755"/>
    <w:rsid w:val="00F54B3F"/>
    <w:rsid w:val="00F55883"/>
    <w:rsid w:val="00F624E6"/>
    <w:rsid w:val="00F63B08"/>
    <w:rsid w:val="00F63C6A"/>
    <w:rsid w:val="00F65091"/>
    <w:rsid w:val="00F66310"/>
    <w:rsid w:val="00F70047"/>
    <w:rsid w:val="00F70B6E"/>
    <w:rsid w:val="00F70FC1"/>
    <w:rsid w:val="00F720F8"/>
    <w:rsid w:val="00F72E21"/>
    <w:rsid w:val="00F75DC3"/>
    <w:rsid w:val="00F75E30"/>
    <w:rsid w:val="00F77806"/>
    <w:rsid w:val="00F8344B"/>
    <w:rsid w:val="00F85738"/>
    <w:rsid w:val="00F85844"/>
    <w:rsid w:val="00F935E9"/>
    <w:rsid w:val="00F945B2"/>
    <w:rsid w:val="00F975C7"/>
    <w:rsid w:val="00FA04BC"/>
    <w:rsid w:val="00FA110F"/>
    <w:rsid w:val="00FA1589"/>
    <w:rsid w:val="00FA22B5"/>
    <w:rsid w:val="00FA3150"/>
    <w:rsid w:val="00FA3421"/>
    <w:rsid w:val="00FA37B4"/>
    <w:rsid w:val="00FA520B"/>
    <w:rsid w:val="00FB2C13"/>
    <w:rsid w:val="00FB323B"/>
    <w:rsid w:val="00FB37BF"/>
    <w:rsid w:val="00FB3B01"/>
    <w:rsid w:val="00FB59BE"/>
    <w:rsid w:val="00FB6C88"/>
    <w:rsid w:val="00FC03FA"/>
    <w:rsid w:val="00FC463E"/>
    <w:rsid w:val="00FC4E5E"/>
    <w:rsid w:val="00FC782A"/>
    <w:rsid w:val="00FC7AEC"/>
    <w:rsid w:val="00FD0C1D"/>
    <w:rsid w:val="00FD584D"/>
    <w:rsid w:val="00FE148D"/>
    <w:rsid w:val="00FE18D5"/>
    <w:rsid w:val="00FE1FFA"/>
    <w:rsid w:val="00FE2197"/>
    <w:rsid w:val="00FE34C1"/>
    <w:rsid w:val="00FE58A9"/>
    <w:rsid w:val="00FF0244"/>
    <w:rsid w:val="00FF133C"/>
    <w:rsid w:val="00FF536A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18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IEEEStdsLevel2Header"/>
    <w:next w:val="Normal"/>
    <w:qFormat/>
    <w:rsid w:val="0005189C"/>
    <w:pPr>
      <w:spacing w:before="240" w:after="60"/>
    </w:pPr>
    <w:rPr>
      <w:rFonts w:cs="Arial"/>
      <w:b w:val="0"/>
      <w:bCs/>
      <w:iCs/>
      <w:szCs w:val="28"/>
    </w:rPr>
  </w:style>
  <w:style w:type="paragraph" w:styleId="Heading3">
    <w:name w:val="heading 3"/>
    <w:basedOn w:val="IEEEStdsLevel3Header"/>
    <w:next w:val="Normal"/>
    <w:qFormat/>
    <w:rsid w:val="0005189C"/>
    <w:pPr>
      <w:spacing w:after="60"/>
    </w:pPr>
    <w:rPr>
      <w:rFonts w:cs="Arial"/>
      <w:b w:val="0"/>
      <w:bCs/>
      <w:szCs w:val="26"/>
    </w:rPr>
  </w:style>
  <w:style w:type="paragraph" w:styleId="Heading4">
    <w:name w:val="heading 4"/>
    <w:basedOn w:val="IEEEStdsLevel4Header"/>
    <w:next w:val="Normal"/>
    <w:qFormat/>
    <w:rsid w:val="0005189C"/>
    <w:pPr>
      <w:autoSpaceDE w:val="0"/>
      <w:autoSpaceDN w:val="0"/>
      <w:adjustRightInd w:val="0"/>
      <w:spacing w:before="60"/>
      <w:ind w:left="576"/>
    </w:pPr>
    <w:rPr>
      <w:rFonts w:cs="Arial"/>
    </w:rPr>
  </w:style>
  <w:style w:type="paragraph" w:styleId="Heading5">
    <w:name w:val="heading 5"/>
    <w:basedOn w:val="IEEEStdsLevel5Header"/>
    <w:next w:val="Normal"/>
    <w:link w:val="Heading5Char"/>
    <w:unhideWhenUsed/>
    <w:qFormat/>
    <w:rsid w:val="009C22E3"/>
    <w:pPr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1A179D"/>
    <w:rPr>
      <w:b/>
    </w:rPr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A409E2"/>
    <w:pPr>
      <w:keepNext/>
      <w:keepLines/>
      <w:suppressAutoHyphens/>
      <w:spacing w:before="360" w:after="240"/>
      <w:jc w:val="center"/>
      <w:outlineLvl w:val="0"/>
    </w:pPr>
    <w:rPr>
      <w:rFonts w:eastAsia="MS Mincho"/>
      <w:b/>
      <w:sz w:val="32"/>
      <w:szCs w:val="20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9C22E3"/>
    <w:pPr>
      <w:numPr>
        <w:ilvl w:val="3"/>
      </w:numPr>
      <w:outlineLvl w:val="3"/>
    </w:pPr>
    <w:rPr>
      <w:b w:val="0"/>
    </w:rPr>
  </w:style>
  <w:style w:type="paragraph" w:customStyle="1" w:styleId="IEEEStdsLevel5Header">
    <w:name w:val="IEEEStds Level 5 Header"/>
    <w:basedOn w:val="IEEEStdsLevel4Header"/>
    <w:next w:val="Normal"/>
    <w:rsid w:val="009C22E3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qFormat/>
    <w:rsid w:val="00942D99"/>
    <w:pPr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D7C0F"/>
    <w:pPr>
      <w:ind w:left="720"/>
    </w:pPr>
  </w:style>
  <w:style w:type="paragraph" w:customStyle="1" w:styleId="NumberedList">
    <w:name w:val="Numbered List"/>
    <w:basedOn w:val="BodyText"/>
    <w:qFormat/>
    <w:rsid w:val="00EE38EB"/>
    <w:pPr>
      <w:numPr>
        <w:numId w:val="3"/>
      </w:numPr>
      <w:spacing w:before="0" w:after="0"/>
      <w:ind w:left="1080"/>
    </w:pPr>
    <w:rPr>
      <w:rFonts w:ascii="Arial" w:hAnsi="Arial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customStyle="1" w:styleId="IntenseEmphasis1">
    <w:name w:val="Intense Emphasis1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qFormat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MediumList2-Accent2">
    <w:name w:val="Medium List 2 Accent 2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C4374B"/>
    <w:pPr>
      <w:spacing w:after="200"/>
      <w:jc w:val="center"/>
    </w:pPr>
    <w:rPr>
      <w:b/>
      <w:bCs/>
      <w:color w:val="000000"/>
      <w:sz w:val="22"/>
      <w:szCs w:val="18"/>
    </w:rPr>
  </w:style>
  <w:style w:type="table" w:customStyle="1" w:styleId="LightShading-Accent11">
    <w:name w:val="Light Shading - Accent 1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MS Mincho" w:hAnsi="Wingding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Date">
    <w:name w:val="Date"/>
    <w:basedOn w:val="Normal"/>
    <w:next w:val="Normal"/>
    <w:link w:val="DateChar"/>
    <w:rsid w:val="00D6371D"/>
    <w:pPr>
      <w:spacing w:after="120"/>
    </w:pPr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D6371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4C53"/>
    <w:pPr>
      <w:numPr>
        <w:numId w:val="27"/>
      </w:numPr>
      <w:tabs>
        <w:tab w:val="left" w:pos="0"/>
      </w:tabs>
      <w:spacing w:before="240"/>
      <w:contextualSpacing/>
      <w:jc w:val="both"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4C53"/>
    <w:rPr>
      <w:rFonts w:ascii="Arial" w:hAnsi="Arial" w:cs="Arial"/>
    </w:rPr>
  </w:style>
  <w:style w:type="character" w:styleId="Emphasis">
    <w:name w:val="Emphasis"/>
    <w:basedOn w:val="DefaultParagraphFont"/>
    <w:qFormat/>
    <w:rsid w:val="00AC1C00"/>
    <w:rPr>
      <w:i/>
      <w:iCs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9C22E3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9C22E3"/>
    <w:pPr>
      <w:numPr>
        <w:ilvl w:val="2"/>
      </w:numPr>
      <w:spacing w:before="240"/>
      <w:outlineLvl w:val="2"/>
    </w:pPr>
    <w:rPr>
      <w:sz w:val="24"/>
    </w:rPr>
  </w:style>
  <w:style w:type="character" w:customStyle="1" w:styleId="Heading5Char">
    <w:name w:val="Heading 5 Char"/>
    <w:basedOn w:val="DefaultParagraphFont"/>
    <w:link w:val="Heading5"/>
    <w:rsid w:val="009C22E3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189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B46A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IEEEStdsLevel2Header"/>
    <w:next w:val="Normal"/>
    <w:qFormat/>
    <w:rsid w:val="0005189C"/>
    <w:pPr>
      <w:spacing w:before="240" w:after="60"/>
    </w:pPr>
    <w:rPr>
      <w:rFonts w:cs="Arial"/>
      <w:b w:val="0"/>
      <w:bCs/>
      <w:iCs/>
      <w:szCs w:val="28"/>
    </w:rPr>
  </w:style>
  <w:style w:type="paragraph" w:styleId="Heading3">
    <w:name w:val="heading 3"/>
    <w:basedOn w:val="IEEEStdsLevel3Header"/>
    <w:next w:val="Normal"/>
    <w:qFormat/>
    <w:rsid w:val="0005189C"/>
    <w:pPr>
      <w:spacing w:after="60"/>
    </w:pPr>
    <w:rPr>
      <w:rFonts w:cs="Arial"/>
      <w:b w:val="0"/>
      <w:bCs/>
      <w:szCs w:val="26"/>
    </w:rPr>
  </w:style>
  <w:style w:type="paragraph" w:styleId="Heading4">
    <w:name w:val="heading 4"/>
    <w:basedOn w:val="IEEEStdsLevel4Header"/>
    <w:next w:val="Normal"/>
    <w:qFormat/>
    <w:rsid w:val="0005189C"/>
    <w:pPr>
      <w:autoSpaceDE w:val="0"/>
      <w:autoSpaceDN w:val="0"/>
      <w:adjustRightInd w:val="0"/>
      <w:spacing w:before="60"/>
      <w:ind w:left="576"/>
    </w:pPr>
    <w:rPr>
      <w:rFonts w:cs="Arial"/>
    </w:rPr>
  </w:style>
  <w:style w:type="paragraph" w:styleId="Heading5">
    <w:name w:val="heading 5"/>
    <w:basedOn w:val="IEEEStdsLevel5Header"/>
    <w:next w:val="Normal"/>
    <w:link w:val="Heading5Char"/>
    <w:unhideWhenUsed/>
    <w:qFormat/>
    <w:rsid w:val="009C22E3"/>
    <w:pPr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05189C"/>
    <w:rPr>
      <w:rFonts w:cs="Courier New"/>
      <w:szCs w:val="20"/>
    </w:rPr>
  </w:style>
  <w:style w:type="paragraph" w:styleId="TOC1">
    <w:name w:val="toc 1"/>
    <w:basedOn w:val="Normal"/>
    <w:next w:val="Normal"/>
    <w:autoRedefine/>
    <w:uiPriority w:val="39"/>
    <w:rsid w:val="001A179D"/>
    <w:rPr>
      <w:b/>
    </w:rPr>
  </w:style>
  <w:style w:type="paragraph" w:styleId="TOC2">
    <w:name w:val="toc 2"/>
    <w:basedOn w:val="Normal"/>
    <w:next w:val="Normal"/>
    <w:autoRedefine/>
    <w:uiPriority w:val="39"/>
    <w:rsid w:val="0005189C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5189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05189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05189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05189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05189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05189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05189C"/>
    <w:pPr>
      <w:ind w:left="1920"/>
    </w:pPr>
  </w:style>
  <w:style w:type="paragraph" w:customStyle="1" w:styleId="Table1">
    <w:name w:val="Table1"/>
    <w:basedOn w:val="PlainText"/>
    <w:rsid w:val="0005189C"/>
    <w:pPr>
      <w:spacing w:before="120" w:after="120"/>
      <w:jc w:val="center"/>
    </w:pPr>
    <w:rPr>
      <w:rFonts w:eastAsia="MS Mincho" w:cs="Arial"/>
      <w:b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05189C"/>
    <w:pPr>
      <w:ind w:left="400" w:hanging="400"/>
    </w:pPr>
  </w:style>
  <w:style w:type="paragraph" w:styleId="Header">
    <w:name w:val="header"/>
    <w:basedOn w:val="Normal"/>
    <w:rsid w:val="0005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189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189C"/>
    <w:pPr>
      <w:spacing w:before="120" w:after="240"/>
    </w:pPr>
    <w:rPr>
      <w:rFonts w:ascii="Times New Roman" w:hAnsi="Times New Roman"/>
      <w:szCs w:val="20"/>
    </w:rPr>
  </w:style>
  <w:style w:type="paragraph" w:styleId="BodyText3">
    <w:name w:val="Body Text 3"/>
    <w:basedOn w:val="Normal"/>
    <w:semiHidden/>
    <w:rsid w:val="0005189C"/>
    <w:pPr>
      <w:keepLines/>
      <w:spacing w:before="120" w:after="120"/>
      <w:jc w:val="both"/>
    </w:pPr>
    <w:rPr>
      <w:rFonts w:cs="Arial"/>
      <w:snapToGrid w:val="0"/>
      <w:szCs w:val="20"/>
    </w:rPr>
  </w:style>
  <w:style w:type="character" w:styleId="PageNumber">
    <w:name w:val="page number"/>
    <w:basedOn w:val="DefaultParagraphFont"/>
    <w:semiHidden/>
    <w:rsid w:val="0005189C"/>
  </w:style>
  <w:style w:type="paragraph" w:customStyle="1" w:styleId="Tight">
    <w:name w:val="Tight"/>
    <w:basedOn w:val="Normal"/>
    <w:rsid w:val="0005189C"/>
    <w:rPr>
      <w:rFonts w:ascii="Times New Roman" w:hAnsi="Times New Roman"/>
      <w:szCs w:val="20"/>
    </w:rPr>
  </w:style>
  <w:style w:type="paragraph" w:styleId="BodyText2">
    <w:name w:val="Body Text 2"/>
    <w:basedOn w:val="Normal"/>
    <w:semiHidden/>
    <w:rsid w:val="0005189C"/>
    <w:pPr>
      <w:jc w:val="both"/>
    </w:pPr>
    <w:rPr>
      <w:rFonts w:ascii="Times New Roman" w:hAnsi="Times New Roman"/>
      <w:szCs w:val="20"/>
    </w:rPr>
  </w:style>
  <w:style w:type="character" w:styleId="Hyperlink">
    <w:name w:val="Hyperlink"/>
    <w:uiPriority w:val="99"/>
    <w:rsid w:val="0005189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51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</w:rPr>
  </w:style>
  <w:style w:type="character" w:styleId="FollowedHyperlink">
    <w:name w:val="FollowedHyperlink"/>
    <w:semiHidden/>
    <w:rsid w:val="0005189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05189C"/>
    <w:pPr>
      <w:spacing w:before="120"/>
      <w:ind w:left="432"/>
    </w:pPr>
    <w:rPr>
      <w:rFonts w:cs="Arial"/>
    </w:rPr>
  </w:style>
  <w:style w:type="paragraph" w:customStyle="1" w:styleId="references">
    <w:name w:val="references"/>
    <w:basedOn w:val="Normal"/>
    <w:rsid w:val="0005189C"/>
    <w:pPr>
      <w:spacing w:after="240"/>
      <w:ind w:left="1080" w:hanging="1080"/>
    </w:pPr>
    <w:rPr>
      <w:rFonts w:ascii="Courier New" w:hAnsi="Courier New" w:cs="Courier New"/>
      <w:szCs w:val="20"/>
    </w:rPr>
  </w:style>
  <w:style w:type="paragraph" w:customStyle="1" w:styleId="ref-id">
    <w:name w:val="ref-id"/>
    <w:basedOn w:val="Normal"/>
    <w:next w:val="Normal"/>
    <w:rsid w:val="0005189C"/>
    <w:pPr>
      <w:keepNext/>
      <w:spacing w:before="120"/>
    </w:pPr>
    <w:rPr>
      <w:rFonts w:ascii="Times New Roman" w:hAnsi="Times New Roman"/>
      <w:szCs w:val="20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C679E4"/>
    <w:pPr>
      <w:keepNext/>
      <w:keepLines/>
      <w:numPr>
        <w:numId w:val="37"/>
      </w:numPr>
      <w:suppressAutoHyphens/>
      <w:spacing w:before="360" w:after="240"/>
      <w:outlineLvl w:val="0"/>
    </w:pPr>
    <w:rPr>
      <w:rFonts w:eastAsia="MS Mincho"/>
      <w:b/>
      <w:sz w:val="32"/>
      <w:szCs w:val="20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9C22E3"/>
    <w:pPr>
      <w:numPr>
        <w:ilvl w:val="3"/>
      </w:numPr>
      <w:outlineLvl w:val="3"/>
    </w:pPr>
    <w:rPr>
      <w:b w:val="0"/>
    </w:rPr>
  </w:style>
  <w:style w:type="paragraph" w:customStyle="1" w:styleId="IEEEStdsLevel5Header">
    <w:name w:val="IEEEStds Level 5 Header"/>
    <w:basedOn w:val="IEEEStdsLevel4Header"/>
    <w:next w:val="Normal"/>
    <w:rsid w:val="009C22E3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05189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05189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05189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05189C"/>
    <w:pPr>
      <w:numPr>
        <w:ilvl w:val="8"/>
      </w:numPr>
      <w:outlineLvl w:val="8"/>
    </w:pPr>
  </w:style>
  <w:style w:type="paragraph" w:customStyle="1" w:styleId="definition">
    <w:name w:val="definition"/>
    <w:basedOn w:val="Normal"/>
    <w:rsid w:val="0005189C"/>
    <w:rPr>
      <w:rFonts w:ascii="Times New Roman" w:hAnsi="Times New Roman"/>
      <w:szCs w:val="20"/>
    </w:rPr>
  </w:style>
  <w:style w:type="paragraph" w:customStyle="1" w:styleId="IEEEStdsParagraph">
    <w:name w:val="IEEEStds Paragraph"/>
    <w:qFormat/>
    <w:rsid w:val="00942D99"/>
    <w:pPr>
      <w:jc w:val="both"/>
    </w:pPr>
    <w:rPr>
      <w:rFonts w:ascii="Arial" w:hAnsi="Arial"/>
      <w:sz w:val="24"/>
      <w:szCs w:val="24"/>
    </w:rPr>
  </w:style>
  <w:style w:type="character" w:customStyle="1" w:styleId="definitionChar">
    <w:name w:val="definition Char"/>
    <w:rsid w:val="0005189C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1FF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IEEEStdsParagraph"/>
    <w:rsid w:val="00FA520B"/>
  </w:style>
  <w:style w:type="character" w:styleId="CommentReference">
    <w:name w:val="annotation reference"/>
    <w:uiPriority w:val="99"/>
    <w:semiHidden/>
    <w:unhideWhenUsed/>
    <w:rsid w:val="005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57A"/>
    <w:rPr>
      <w:szCs w:val="20"/>
    </w:rPr>
  </w:style>
  <w:style w:type="character" w:customStyle="1" w:styleId="CommentTextChar">
    <w:name w:val="Comment Text Char"/>
    <w:link w:val="CommentText"/>
    <w:uiPriority w:val="99"/>
    <w:rsid w:val="005035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57A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933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D7C0F"/>
    <w:pPr>
      <w:ind w:left="720"/>
    </w:pPr>
  </w:style>
  <w:style w:type="paragraph" w:customStyle="1" w:styleId="NumberedList">
    <w:name w:val="Numbered List"/>
    <w:basedOn w:val="BodyText"/>
    <w:qFormat/>
    <w:rsid w:val="00EE38EB"/>
    <w:pPr>
      <w:numPr>
        <w:numId w:val="3"/>
      </w:numPr>
      <w:spacing w:before="0" w:after="0"/>
      <w:ind w:left="1080"/>
    </w:pPr>
    <w:rPr>
      <w:rFonts w:ascii="Arial" w:hAnsi="Arial" w:cs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E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3EC8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56506F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7657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867657"/>
    <w:rPr>
      <w:rFonts w:ascii="Arial" w:hAnsi="Arial"/>
    </w:rPr>
  </w:style>
  <w:style w:type="character" w:styleId="EndnoteReference">
    <w:name w:val="endnote reference"/>
    <w:uiPriority w:val="99"/>
    <w:semiHidden/>
    <w:unhideWhenUsed/>
    <w:rsid w:val="00867657"/>
    <w:rPr>
      <w:vertAlign w:val="superscript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460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460A9"/>
    <w:rPr>
      <w:rFonts w:ascii="Arial" w:hAnsi="Arial"/>
      <w:b/>
      <w:bCs/>
      <w:i/>
      <w:iCs/>
      <w:color w:val="4F81BD"/>
      <w:szCs w:val="24"/>
    </w:rPr>
  </w:style>
  <w:style w:type="character" w:customStyle="1" w:styleId="IntenseEmphasis1">
    <w:name w:val="Intense Emphasis1"/>
    <w:uiPriority w:val="21"/>
    <w:qFormat/>
    <w:rsid w:val="009460A9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FE34C1"/>
  </w:style>
  <w:style w:type="character" w:customStyle="1" w:styleId="HTMLPreformattedChar">
    <w:name w:val="HTML Preformatted Char"/>
    <w:link w:val="HTMLPreformatted"/>
    <w:uiPriority w:val="99"/>
    <w:semiHidden/>
    <w:rsid w:val="00DC3CF0"/>
    <w:rPr>
      <w:rFonts w:ascii="Arial Unicode MS" w:eastAsia="Arial Unicode MS" w:hAnsi="Arial Unicode MS" w:cs="Arial Unicode MS"/>
    </w:rPr>
  </w:style>
  <w:style w:type="character" w:customStyle="1" w:styleId="IEEEStdsAbstractBodyChar">
    <w:name w:val="IEEEStds Abstract Body Char"/>
    <w:rsid w:val="007C2FBC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7C2FBC"/>
    <w:rPr>
      <w:rFonts w:eastAsia="ヒラギノ角ゴ Pro W3"/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autoRedefine/>
    <w:qFormat/>
    <w:rsid w:val="007905D2"/>
    <w:pPr>
      <w:jc w:val="center"/>
    </w:pPr>
    <w:rPr>
      <w:rFonts w:eastAsia="MS Mincho" w:cs="Arial"/>
      <w:b/>
      <w:bCs/>
      <w:sz w:val="28"/>
    </w:rPr>
  </w:style>
  <w:style w:type="character" w:customStyle="1" w:styleId="BodyTextChar">
    <w:name w:val="Body Text Char"/>
    <w:link w:val="BodyText"/>
    <w:rsid w:val="00906966"/>
    <w:rPr>
      <w:szCs w:val="20"/>
    </w:rPr>
  </w:style>
  <w:style w:type="character" w:customStyle="1" w:styleId="BodyTextIndentChar">
    <w:name w:val="Body Text Indent Char"/>
    <w:link w:val="BodyTextIndent"/>
    <w:semiHidden/>
    <w:rsid w:val="00906966"/>
    <w:rPr>
      <w:rFonts w:ascii="Arial" w:hAnsi="Arial" w:cs="Arial"/>
    </w:rPr>
  </w:style>
  <w:style w:type="character" w:customStyle="1" w:styleId="TitleChar">
    <w:name w:val="Title Char"/>
    <w:link w:val="Title"/>
    <w:rsid w:val="007905D2"/>
    <w:rPr>
      <w:rFonts w:ascii="Arial" w:eastAsia="MS Mincho" w:hAnsi="Arial" w:cs="Arial"/>
      <w:b/>
      <w:bCs/>
      <w:sz w:val="28"/>
      <w:szCs w:val="20"/>
    </w:rPr>
  </w:style>
  <w:style w:type="paragraph" w:customStyle="1" w:styleId="PWGHeaderTitle">
    <w:name w:val="PWG Header Title"/>
    <w:basedOn w:val="Header"/>
    <w:qFormat/>
    <w:rsid w:val="00E9093D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E9093D"/>
    <w:pPr>
      <w:spacing w:before="480"/>
    </w:pPr>
    <w:rPr>
      <w:rFonts w:eastAsia="MS Mincho" w:cs="Arial"/>
      <w:b/>
      <w:bCs/>
    </w:rPr>
  </w:style>
  <w:style w:type="paragraph" w:customStyle="1" w:styleId="PWGFooter">
    <w:name w:val="PWG Footer"/>
    <w:basedOn w:val="Footer"/>
    <w:qFormat/>
    <w:rsid w:val="00E9093D"/>
    <w:pPr>
      <w:jc w:val="center"/>
    </w:pPr>
  </w:style>
  <w:style w:type="paragraph" w:styleId="Subtitle">
    <w:name w:val="Subtitle"/>
    <w:basedOn w:val="BodyText"/>
    <w:next w:val="Normal"/>
    <w:link w:val="SubtitleChar"/>
    <w:qFormat/>
    <w:rsid w:val="00E9093D"/>
    <w:pPr>
      <w:jc w:val="center"/>
    </w:pPr>
    <w:rPr>
      <w:rFonts w:ascii="Arial" w:hAnsi="Arial" w:cs="Arial"/>
      <w:sz w:val="28"/>
    </w:rPr>
  </w:style>
  <w:style w:type="character" w:customStyle="1" w:styleId="SubtitleChar">
    <w:name w:val="Subtitle Char"/>
    <w:link w:val="Subtitle"/>
    <w:rsid w:val="00E9093D"/>
    <w:rPr>
      <w:rFonts w:ascii="Arial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2D03C3"/>
    <w:pPr>
      <w:ind w:left="2160" w:hanging="2160"/>
      <w:jc w:val="left"/>
    </w:pPr>
    <w:rPr>
      <w:rFonts w:eastAsia="MS Mincho"/>
    </w:rPr>
  </w:style>
  <w:style w:type="table" w:styleId="MediumList2-Accent2">
    <w:name w:val="Medium List 2 Accent 2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Caption">
    <w:name w:val="caption"/>
    <w:basedOn w:val="Normal"/>
    <w:next w:val="Normal"/>
    <w:autoRedefine/>
    <w:qFormat/>
    <w:rsid w:val="00C4374B"/>
    <w:pPr>
      <w:spacing w:after="200"/>
      <w:jc w:val="center"/>
    </w:pPr>
    <w:rPr>
      <w:b/>
      <w:bCs/>
      <w:color w:val="000000"/>
      <w:sz w:val="22"/>
      <w:szCs w:val="18"/>
    </w:rPr>
  </w:style>
  <w:style w:type="table" w:styleId="LightShading-Accent1">
    <w:name w:val="Light Shading Accent 1"/>
    <w:basedOn w:val="TableNormal"/>
    <w:rsid w:val="00915AC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MS Mincho" w:hAnsi="Wingding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Date">
    <w:name w:val="Date"/>
    <w:basedOn w:val="Normal"/>
    <w:next w:val="Normal"/>
    <w:link w:val="DateChar"/>
    <w:rsid w:val="00D6371D"/>
    <w:pPr>
      <w:spacing w:after="120"/>
    </w:pPr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D6371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4C53"/>
    <w:pPr>
      <w:numPr>
        <w:numId w:val="27"/>
      </w:numPr>
      <w:tabs>
        <w:tab w:val="left" w:pos="0"/>
      </w:tabs>
      <w:spacing w:before="240"/>
      <w:contextualSpacing/>
      <w:jc w:val="both"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4C53"/>
    <w:rPr>
      <w:rFonts w:ascii="Arial" w:hAnsi="Arial" w:cs="Arial"/>
    </w:rPr>
  </w:style>
  <w:style w:type="character" w:styleId="Emphasis">
    <w:name w:val="Emphasis"/>
    <w:basedOn w:val="DefaultParagraphFont"/>
    <w:qFormat/>
    <w:rsid w:val="00AC1C00"/>
    <w:rPr>
      <w:i/>
      <w:iCs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9C22E3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9C22E3"/>
    <w:pPr>
      <w:numPr>
        <w:ilvl w:val="2"/>
      </w:numPr>
      <w:spacing w:before="240"/>
      <w:outlineLvl w:val="2"/>
    </w:pPr>
    <w:rPr>
      <w:sz w:val="24"/>
    </w:rPr>
  </w:style>
  <w:style w:type="character" w:customStyle="1" w:styleId="Heading5Char">
    <w:name w:val="Heading 5 Char"/>
    <w:basedOn w:val="DefaultParagraphFont"/>
    <w:link w:val="Heading5"/>
    <w:rsid w:val="009C22E3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43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2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585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ftp.pwg.org/pub/pwg/fsg/jobticket/JTAPI_Spec/fsg-openprinting-job-ticket-api-v0100-20050315.pdf" TargetMode="External"/><Relationship Id="rId17" Type="http://schemas.openxmlformats.org/officeDocument/2006/relationships/fontTable" Target="fontTable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ftp.pwg.org/pub/pwg/mfd/white/JTAPImap10--20111207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968474\Documents\PWG\MFD\Print\w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127B-8BAB-4305-943F-01BD49F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wd-template</Template>
  <TotalTime>199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 Title of Specification (Acronym)</vt:lpstr>
    </vt:vector>
  </TitlesOfParts>
  <Company>Printer Working Group</Company>
  <LinksUpToDate>false</LinksUpToDate>
  <CharactersWithSpaces>3537</CharactersWithSpaces>
  <SharedDoc>false</SharedDoc>
  <HyperlinkBase/>
  <HLinks>
    <vt:vector size="18" baseType="variant">
      <vt:variant>
        <vt:i4>1966097</vt:i4>
      </vt:variant>
      <vt:variant>
        <vt:i4>6</vt:i4>
      </vt:variant>
      <vt:variant>
        <vt:i4>0</vt:i4>
      </vt:variant>
      <vt:variant>
        <vt:i4>5</vt:i4>
      </vt:variant>
      <vt:variant>
        <vt:lpwstr>http://www.ieee-isto.org</vt:lpwstr>
      </vt:variant>
      <vt:variant>
        <vt:lpwstr/>
      </vt:variant>
      <vt:variant>
        <vt:i4>2293785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http://standards.ieee.org/)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 Title of Specification (Acronym)</dc:title>
  <dc:creator>Dad</dc:creator>
  <cp:lastModifiedBy>WAM</cp:lastModifiedBy>
  <cp:revision>3</cp:revision>
  <cp:lastPrinted>2011-11-15T16:06:00Z</cp:lastPrinted>
  <dcterms:created xsi:type="dcterms:W3CDTF">2011-12-07T22:16:00Z</dcterms:created>
  <dcterms:modified xsi:type="dcterms:W3CDTF">2011-12-08T01:52:00Z</dcterms:modified>
</cp:coreProperties>
</file>